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Videoskript: „Was eine Zone in der Matratze wirklich macht"</w:t>
      </w:r>
    </w:p>
    <w:p>
      <w:pPr>
        <w:spacing w:after="160"/>
      </w:pPr>
      <w:r>
        <w:rPr>
          <w:b w:val="false"/>
          <w:bCs w:val="false"/>
          <w:i/>
          <w:iCs/>
          <w:sz w:val="20"/>
          <w:szCs w:val="20"/>
        </w:rPr>
        <w:t xml:space="preserve">Quelle: blog-zonen.md (Primärquelle, Erzählstruktur &amp; Anekdoten) · KC-0003 (Belegkette, Stichprobengröße, Abgrenzung)</w:t>
      </w:r>
    </w:p>
    <w:p>
      <w:pPr>
        <w:spacing w:after="160"/>
      </w:pPr>
      <w:r>
        <w:rPr>
          <w:b w:val="false"/>
          <w:bCs w:val="false"/>
          <w:i/>
          <w:iCs/>
          <w:sz w:val="20"/>
          <w:szCs w:val="20"/>
        </w:rPr>
        <w:t xml:space="preserve">Länge: ca. 3:45 Min · ca. 484 gesprochene Wörter · 9 Szenen</w:t>
      </w:r>
    </w:p>
    <w:p>
      <w:pPr>
        <w:spacing w:after="160"/>
      </w:pPr>
      <w:r>
        <w:rPr>
          <w:b w:val="false"/>
          <w:bCs w:val="false"/>
          <w:i/>
          <w:iCs/>
          <w:sz w:val="20"/>
          <w:szCs w:val="20"/>
        </w:rPr>
        <w:t xml:space="preserve">Keiten Schlafberatung, Niederrhein, seit 1963</w:t>
      </w:r>
    </w:p>
    <w:p>
      <w:pPr>
        <w:pStyle w:val="Heading1"/>
        <w:spacing w:after="160" w:before="400"/>
      </w:pPr>
      <w:r>
        <w:t xml:space="preserve">A. Ein-Satz-Kernbotschaft</w:t>
      </w:r>
    </w:p>
    <w:p>
      <w:pPr>
        <w:spacing w:after="160"/>
      </w:pPr>
      <w:r>
        <w:rPr>
          <w:b w:val="false"/>
          <w:bCs w:val="false"/>
          <w:i w:val="false"/>
          <w:iCs w:val="false"/>
          <w:sz w:val="22"/>
          <w:szCs w:val="22"/>
        </w:rPr>
        <w:t xml:space="preserve">Eine Zone ist keine feste Materialeinteilung, sondern die gemessene Antwort auf den eigenen Körper — deshalb sagt die Zahl der Zonen allein nichts darüber, ob eine Matratze passt.</w:t>
      </w:r>
    </w:p>
    <w:p>
      <w:pPr>
        <w:pStyle w:val="Heading1"/>
        <w:spacing w:after="160" w:before="400"/>
      </w:pPr>
      <w:r>
        <w:t xml:space="preserve">B. Das Skript</w:t>
      </w:r>
    </w:p>
    <w:p>
      <w:pPr>
        <w:pStyle w:val="Heading2"/>
        <w:spacing w:after="120" w:before="320"/>
      </w:pPr>
      <w:r>
        <w:t xml:space="preserve">Szene 1 — Hook  </w:t>
      </w:r>
      <w:r>
        <w:rPr>
          <w:i/>
          <w:iCs/>
          <w:sz w:val="22"/>
          <w:szCs w:val="22"/>
        </w:rPr>
        <w:t xml:space="preserve">(15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Detail. Nahaufnahme auf den Bildschirm des Vitario-Simulators. Ein Messpunkt an der Schulter blinkt auf und zeigt einen hohen Druckwert; daneben erscheint ein niedrigerer Stützwert. Kein Sprecher im Bild.</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Elias (Voice-over): „Viel Druck, also mehr Stütze — das würde man erwarten. An der Schulter ist genau das Gegenteil richtig: viel Druck, aber weniger Stütze. Warum das so ist, zeigt, was eine Zone wirklich tut."</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Ruhiges, leicht neugieriges Tempo. Kleine Pause vor „genau das Gegenteil richtig" — dort liegt die Pointe.</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keine (Bild trägt die Aussage).</w:t>
            </w:r>
          </w:p>
        </w:tc>
      </w:tr>
    </w:tbl>
    <w:p>
      <w:pPr>
        <w:pStyle w:val="Heading2"/>
        <w:spacing w:after="120" w:before="320"/>
      </w:pPr>
      <w:r>
        <w:t xml:space="preserve">Szene 2 — Was eine Zone eigentlich ist  </w:t>
      </w:r>
      <w:r>
        <w:rPr>
          <w:i/>
          <w:iCs/>
          <w:sz w:val="22"/>
          <w:szCs w:val="22"/>
        </w:rPr>
        <w:t xml:space="preserve">(20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Halbnah. Elias steht am Simulator, legt die Hand auf die Liegefläche und fährt kurz über zwei benachbarte Punkte.</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Elias: „Eine Zone ist kein festes Stück Material. Sie ist ein Bereich, dessen Härte sich einstellen lässt — je nachdem, was der Körper an dieser Stelle braucht. Zwei Stellen können denselben Druck zeigen und trotzdem unterschiedlich reagieren. Die Frage ist also: Nach welcher Regel wird diese Härte eingestellt?"</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Blick abwechselnd zur Liegefläche und in die Kamera. Die Schlussfrage direkt in die Kamera sprechen.</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Kleines, dezentes Logo unten rechts (ab hier durchgängig, keine Textbanner).</w:t>
            </w:r>
          </w:p>
        </w:tc>
      </w:tr>
    </w:tbl>
    <w:p>
      <w:pPr>
        <w:pStyle w:val="Heading2"/>
        <w:spacing w:after="120" w:before="320"/>
      </w:pPr>
      <w:r>
        <w:t xml:space="preserve">Szene 3 — Der Messvorgang  </w:t>
      </w:r>
      <w:r>
        <w:rPr>
          <w:i/>
          <w:iCs/>
          <w:sz w:val="22"/>
          <w:szCs w:val="22"/>
        </w:rPr>
        <w:t xml:space="preserve">(25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Wechsel Halbnah → Totale: Viktor legt sich auf den Simulator. Schnitt auf Detail: Bildschirm mit der Punktreihe entlang der Wirbelsäule, Icons für Rücken- und Seitenlage.</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Viktor (während er sich hinlegt): „Der Vitario-Simulator misst den Druck an zwölf Punkten entlang der Wirbelsäule — in Rückenlage und in Seitenlage. Jeder Punkt liefert einen Wert in Millibar. Ein hoher Wert heißt: An dieser Stelle liegt gerade viel Gewicht auf. So entsteht für jeden Körper ein eigenes Druckbild."</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Erste Sätze noch im Hinlegen sprechen, letzter Satz („So entsteht...") bereits ruhig liegend, Blick zum Bildschirm.</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„12 Messpunkte · Millibar = Gegendruck im Luftschlauch"</w:t>
            </w:r>
          </w:p>
        </w:tc>
      </w:tr>
    </w:tbl>
    <w:p>
      <w:pPr>
        <w:pStyle w:val="Heading2"/>
        <w:spacing w:after="120" w:before="320"/>
      </w:pPr>
      <w:r>
        <w:t xml:space="preserve">Szene 4 — Die Umkehrung  </w:t>
      </w:r>
      <w:r>
        <w:rPr>
          <w:i/>
          <w:iCs/>
          <w:sz w:val="22"/>
          <w:szCs w:val="22"/>
        </w:rPr>
        <w:t xml:space="preserve">(35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Detail: Stützstempel-Mechanik verstellt sich sicht- und hörbar. Grafik-Einblendung mit zwei Pfeilen (Schulter, Lendenwirbelsäule). Zwischenschnitt zu Viktor am Bildschirm.</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Viktor: „An der Schulter liegt der Körper stark auf. Trotzdem wird die Zone dort weicher — sie muss nachgeben, sonst würde die Halswirbelsäule verbogen. An der Lendenwirbelsäule liegt der Körper kaum auf, der Druck ist gering. Trotzdem wird die Zone dort fester — sie muss aktiv stützen, sonst hängt die Wirbelsäule durch. Am Becken, das ähnlich stark drückt wie die Schulter, gibt die Zone wieder nach. Das ist die Umkehrung, die wir eingangs gezeigt haben: mehr Druck bedeutet nicht automatisch mehr Stütze."</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Bei „Trotzdem" jeweils kurze Pause davor — markiert den Kontrast. Letzter Satz direkt in die Kamera, als Auflösung des Hooks.</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„Schulter: viel Druck → weicher" / „Lende: wenig Druck → fester"</w:t>
            </w:r>
          </w:p>
        </w:tc>
      </w:tr>
    </w:tbl>
    <w:p>
      <w:pPr>
        <w:pStyle w:val="Heading2"/>
        <w:spacing w:after="120" w:before="320"/>
      </w:pPr>
      <w:r>
        <w:t xml:space="preserve">Szene 5 — Die Regel dahinter  </w:t>
      </w:r>
      <w:r>
        <w:rPr>
          <w:i/>
          <w:iCs/>
          <w:sz w:val="22"/>
          <w:szCs w:val="22"/>
        </w:rPr>
        <w:t xml:space="preserve">(20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Nah. Elias, Hand auf einer echten Referenzmatratze im Ausstellungsraum, Blick in Kamera.</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Elias: „Kurz gesagt: Die Zone reagiert nicht auf die Höhe des Drucks. Sie reagiert auf die Aufgabe der Stelle. Nachgeben, wo der Körper aufliegt. Stützen, wo er nicht aufliegt und sonst durchhinge. Diese Regel gilt an jeder Stelle des Körpers — nicht nur an Schulter und Lende."</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Langsames, klares Sprechen — das ist der Merksatz des Videos. Kurze Pause nach jedem der beiden kurzen Sätze („Nachgeben..." / „Stützen...").</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keine.</w:t>
            </w:r>
          </w:p>
        </w:tc>
      </w:tr>
    </w:tbl>
    <w:p>
      <w:pPr>
        <w:pStyle w:val="Heading2"/>
        <w:spacing w:after="120" w:before="320"/>
      </w:pPr>
      <w:r>
        <w:t xml:space="preserve">Szene 6 — Die Lendenstütze wandert  </w:t>
      </w:r>
      <w:r>
        <w:rPr>
          <w:i/>
          <w:iCs/>
          <w:sz w:val="22"/>
          <w:szCs w:val="22"/>
        </w:rPr>
        <w:t xml:space="preserve">(35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Grafik-Einblendung: zwei Körperkonturen unterschiedlicher Rumpflänge auf gleicher Liegefläche, Positionsmarker verschieben sich sichtbar. Falls praktikabel: Split-Screen mit zwei realen Personen unterschiedlicher Körpergröße auf dem Simulator.</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Viktor: „Die Lendenwirbelsäule sitzt nicht bei jedem an derselben Stelle. Der Grund liegt in der Rumpflänge: Bei einem langen Rumpf sitzt sie weiter fußwärts, bei einem kurzen weiter kopfwärts — unabhängig von der Körpergröße. Eine ab Werk fest positionierte Lordosezone trifft deshalb höchstens den Durchschnitt. In unserer Messreihe mit 60 Personen lag diese Position mal weiter vorn, mal deutlich weiter hinten — nie exakt an derselben Stelle. Sitzt die Stütze an der falschen Stelle, erfüllt sie ihre Aufgabe nicht."</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Bei „60 Personen" kurz auf die Grafik/Kamera schauen — das ist der Beleg, nicht nur Behauptung. Ruhiges Tempo, keine Eile.</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„Lordose-Position: individuell verschieden (Messreihe n = 60)"</w:t>
            </w:r>
          </w:p>
        </w:tc>
      </w:tr>
    </w:tbl>
    <w:p>
      <w:pPr>
        <w:pStyle w:val="Heading2"/>
        <w:spacing w:after="120" w:before="320"/>
      </w:pPr>
      <w:r>
        <w:t xml:space="preserve">Szene 7 — Warum die Zahl der Zonen wenig sagt  </w:t>
      </w:r>
      <w:r>
        <w:rPr>
          <w:i/>
          <w:iCs/>
          <w:sz w:val="22"/>
          <w:szCs w:val="22"/>
        </w:rPr>
        <w:t xml:space="preserve">(30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Halbnah, Elias und Viktor gemeinsam im Bild. Zwischenschnitt: Querschnitt einer Referenzmatratze bzw. Grafik „24 Zonen ab Werk" neben „individuell gemessene Punkte".</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Elias: „Deshalb sagt die Zahl der Zonen allein wenig. Eine Matratze mit vierundzwanzig fest eingeteilten Zonen ist nicht automatisch besser als eine mit sieben — solange die Einteilung nicht auf einer Messung dieses Körpers beruht. Mehr Zonen bedeuten nur eine feinere Unterteilung der Fläche — nicht automatisch eine bessere Anpassung. Entscheidend ist nicht die Zahl. Entscheidend ist, ob die Zonen zu Ihnen gehören."</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Die letzten beiden Sätze als klares Wortpaar sprechen, mit Pause dazwischen. Blick in Kamera.</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„Zonenzahl ≠ Passgenauigkeit"</w:t>
            </w:r>
          </w:p>
        </w:tc>
      </w:tr>
    </w:tbl>
    <w:p>
      <w:pPr>
        <w:pStyle w:val="Heading2"/>
        <w:spacing w:after="120" w:before="320"/>
      </w:pPr>
      <w:r>
        <w:t xml:space="preserve">Szene 8 — Was das für Sie bedeutet  </w:t>
      </w:r>
      <w:r>
        <w:rPr>
          <w:i/>
          <w:iCs/>
          <w:sz w:val="22"/>
          <w:szCs w:val="22"/>
        </w:rPr>
        <w:t xml:space="preserve">(25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Nah, Viktor, direkt in die Kamera.</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Viktor: „Stellen Sie sich vor, Sie kommen zum Optiker, und der sagt: Ich messe gar nicht — im Schnitt haben Menschen zweikommafünf Dioptrien, damit kommen Sie schon zurecht. Sie würden gehen. Bei einer Matratze mit fester Werkseinteilung passiert im Grunde dasselbe. Der Unterschied zeigt sich erst beim Liegen, nicht auf dem Preisschild."</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Leichtes, fast amüsiertes Kopfschütteln bei der Optiker-Zeile — kein Lachen, nur ein feines Augenzwinkern. Rest ruhig und sachlich.</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keine.</w:t>
            </w:r>
          </w:p>
        </w:tc>
      </w:tr>
    </w:tbl>
    <w:p>
      <w:pPr>
        <w:pStyle w:val="Heading2"/>
        <w:spacing w:after="120" w:before="320"/>
      </w:pPr>
      <w:r>
        <w:t xml:space="preserve">Szene 9 — Abschluss  </w:t>
      </w:r>
      <w:r>
        <w:rPr>
          <w:i/>
          <w:iCs/>
          <w:sz w:val="22"/>
          <w:szCs w:val="22"/>
        </w:rPr>
        <w:t xml:space="preserve">(20 s)</w:t>
      </w:r>
    </w:p>
    <w:tbl>
      <w:tblPr>
        <w:tblW w:type="dxa" w:w="9638"/>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438"/>
      </w:tblGrid>
      <w:tr>
        <w:tc>
          <w:tcPr>
            <w:tcW w:type="dxa" w:w="2200"/>
            <w:shd w:fill="EDEDED" w:color="auto" w:val="clear"/>
            <w:tcMar>
              <w:top w:type="dxa" w:w="100"/>
              <w:left w:type="dxa" w:w="120"/>
              <w:bottom w:type="dxa" w:w="100"/>
              <w:right w:type="dxa" w:w="120"/>
            </w:tcMar>
          </w:tcPr>
          <w:p>
            <w:r>
              <w:rPr>
                <w:b/>
                <w:bCs/>
                <w:sz w:val="20"/>
                <w:szCs w:val="20"/>
              </w:rPr>
              <w:t xml:space="preserve">Bild</w:t>
            </w:r>
          </w:p>
        </w:tc>
        <w:tc>
          <w:tcPr>
            <w:tcW w:type="dxa" w:w="7438"/>
            <w:tcMar>
              <w:top w:type="dxa" w:w="100"/>
              <w:left w:type="dxa" w:w="120"/>
              <w:bottom w:type="dxa" w:w="100"/>
              <w:right w:type="dxa" w:w="120"/>
            </w:tcMar>
          </w:tcPr>
          <w:p>
            <w:pPr>
              <w:spacing w:after="80"/>
            </w:pPr>
            <w:r>
              <w:rPr>
                <w:i w:val="false"/>
                <w:iCs w:val="false"/>
                <w:sz w:val="20"/>
                <w:szCs w:val="20"/>
              </w:rPr>
              <w:t xml:space="preserve">Halbnah, Elias und Viktor stehen nebeneinander vor dem Simulator, ruhiger Blick in Kamera.</w:t>
            </w:r>
          </w:p>
        </w:tc>
      </w:tr>
      <w:tr>
        <w:tc>
          <w:tcPr>
            <w:tcW w:type="dxa" w:w="2200"/>
            <w:shd w:fill="EDEDED" w:color="auto" w:val="clear"/>
            <w:tcMar>
              <w:top w:type="dxa" w:w="100"/>
              <w:left w:type="dxa" w:w="120"/>
              <w:bottom w:type="dxa" w:w="100"/>
              <w:right w:type="dxa" w:w="120"/>
            </w:tcMar>
          </w:tcPr>
          <w:p>
            <w:r>
              <w:rPr>
                <w:b/>
                <w:bCs/>
                <w:sz w:val="20"/>
                <w:szCs w:val="20"/>
              </w:rPr>
              <w:t xml:space="preserve">Sprechertext</w:t>
            </w:r>
          </w:p>
        </w:tc>
        <w:tc>
          <w:tcPr>
            <w:tcW w:type="dxa" w:w="7438"/>
            <w:tcMar>
              <w:top w:type="dxa" w:w="100"/>
              <w:left w:type="dxa" w:w="120"/>
              <w:bottom w:type="dxa" w:w="100"/>
              <w:right w:type="dxa" w:w="120"/>
            </w:tcMar>
          </w:tcPr>
          <w:p>
            <w:pPr>
              <w:spacing w:after="80"/>
            </w:pPr>
            <w:r>
              <w:rPr>
                <w:i w:val="false"/>
                <w:iCs w:val="false"/>
                <w:sz w:val="20"/>
                <w:szCs w:val="20"/>
              </w:rPr>
              <w:t xml:space="preserve">Elias: „Der entscheidende Unterschied ist also nicht die Zahl der Zonen auf der Verpackung. Er ist, ob die Zonen zu Ihrem Körper gehören."</w:t>
            </w:r>
          </w:p>
          <w:p>
            <w:pPr>
              <w:spacing w:after="80"/>
            </w:pPr>
            <w:r>
              <w:rPr>
                <w:i w:val="false"/>
                <w:iCs w:val="false"/>
                <w:sz w:val="20"/>
                <w:szCs w:val="20"/>
              </w:rPr>
              <w:t xml:space="preserve">Viktor: „Mehr zu diesem Thema lesen Sie im Blogartikel auf unserer Website — dort finden Sie auch einen Termin für die eigene Vermessung."</w:t>
            </w:r>
          </w:p>
        </w:tc>
      </w:tr>
      <w:tr>
        <w:tc>
          <w:tcPr>
            <w:tcW w:type="dxa" w:w="2200"/>
            <w:shd w:fill="EDEDED" w:color="auto" w:val="clear"/>
            <w:tcMar>
              <w:top w:type="dxa" w:w="100"/>
              <w:left w:type="dxa" w:w="120"/>
              <w:bottom w:type="dxa" w:w="100"/>
              <w:right w:type="dxa" w:w="120"/>
            </w:tcMar>
          </w:tcPr>
          <w:p>
            <w:r>
              <w:rPr>
                <w:b/>
                <w:bCs/>
                <w:sz w:val="20"/>
                <w:szCs w:val="20"/>
              </w:rPr>
              <w:t xml:space="preserve">Regie</w:t>
            </w:r>
          </w:p>
        </w:tc>
        <w:tc>
          <w:tcPr>
            <w:tcW w:type="dxa" w:w="7438"/>
            <w:tcMar>
              <w:top w:type="dxa" w:w="100"/>
              <w:left w:type="dxa" w:w="120"/>
              <w:bottom w:type="dxa" w:w="100"/>
              <w:right w:type="dxa" w:w="120"/>
            </w:tcMar>
          </w:tcPr>
          <w:p>
            <w:pPr>
              <w:spacing w:after="80"/>
            </w:pPr>
            <w:r>
              <w:rPr>
                <w:i w:val="false"/>
                <w:iCs w:val="false"/>
                <w:sz w:val="20"/>
                <w:szCs w:val="20"/>
              </w:rPr>
              <w:t xml:space="preserve">Kein Lächeln-auf-Kommando, kein Verkaufston. Ruhig stehen bleiben, kurze Pause vor dem letzten Wort, dann Schnitt.</w:t>
            </w:r>
          </w:p>
        </w:tc>
      </w:tr>
      <w:tr>
        <w:tc>
          <w:tcPr>
            <w:tcW w:type="dxa" w:w="2200"/>
            <w:shd w:fill="EDEDED" w:color="auto" w:val="clear"/>
            <w:tcMar>
              <w:top w:type="dxa" w:w="100"/>
              <w:left w:type="dxa" w:w="120"/>
              <w:bottom w:type="dxa" w:w="100"/>
              <w:right w:type="dxa" w:w="120"/>
            </w:tcMar>
          </w:tcPr>
          <w:p>
            <w:r>
              <w:rPr>
                <w:b/>
                <w:bCs/>
                <w:sz w:val="20"/>
                <w:szCs w:val="20"/>
              </w:rPr>
              <w:t xml:space="preserve">Einblendung</w:t>
            </w:r>
          </w:p>
        </w:tc>
        <w:tc>
          <w:tcPr>
            <w:tcW w:type="dxa" w:w="7438"/>
            <w:tcMar>
              <w:top w:type="dxa" w:w="100"/>
              <w:left w:type="dxa" w:w="120"/>
              <w:bottom w:type="dxa" w:w="100"/>
              <w:right w:type="dxa" w:w="120"/>
            </w:tcMar>
          </w:tcPr>
          <w:p>
            <w:pPr>
              <w:spacing w:after="80"/>
            </w:pPr>
            <w:r>
              <w:rPr>
                <w:i/>
                <w:iCs/>
                <w:sz w:val="20"/>
                <w:szCs w:val="20"/>
              </w:rPr>
              <w:t xml:space="preserve">Unterer Banner: Website-Adresse (final, 3–4 Sekunden stehen lassen).</w:t>
            </w:r>
          </w:p>
        </w:tc>
      </w:tr>
    </w:tbl>
    <w:p>
      <w:pPr>
        <w:pStyle w:val="Heading1"/>
        <w:spacing w:after="160" w:before="400"/>
      </w:pPr>
      <w:r>
        <w:t xml:space="preserve">C. Produktionshinweise</w:t>
      </w:r>
    </w:p>
    <w:p>
      <w:pPr>
        <w:spacing w:after="160"/>
      </w:pPr>
      <w:r>
        <w:rPr>
          <w:b/>
          <w:bCs/>
          <w:i w:val="false"/>
          <w:iCs w:val="false"/>
          <w:sz w:val="22"/>
          <w:szCs w:val="22"/>
        </w:rPr>
        <w:t xml:space="preserve">Benötigte Requisiten</w:t>
      </w:r>
    </w:p>
    <w:p>
      <w:pPr>
        <w:spacing w:after="160"/>
      </w:pPr>
      <w:r>
        <w:rPr>
          <w:b w:val="false"/>
          <w:bCs w:val="false"/>
          <w:i w:val="false"/>
          <w:iCs w:val="false"/>
          <w:sz w:val="22"/>
          <w:szCs w:val="22"/>
        </w:rPr>
        <w:t xml:space="preserve">Vitario-Liegesimulator mit Live-Bildschirmanzeige der Druckwerte; echte Referenzmatratze mit sichtbarem Zonen-Querschnitt (Musterschnitt) für Szene 5 und 7; vorbereitete Grafik-Einblendungen für Szene 4, 6 und 7; optional zwei Personen unterschiedlicher Körpergröße für die reale Umsetzung von Szene 6.</w:t>
      </w:r>
    </w:p>
    <w:p>
      <w:pPr>
        <w:spacing w:after="160"/>
      </w:pPr>
      <w:r>
        <w:rPr>
          <w:b/>
          <w:bCs/>
          <w:i w:val="false"/>
          <w:iCs w:val="false"/>
          <w:sz w:val="22"/>
          <w:szCs w:val="22"/>
        </w:rPr>
        <w:t xml:space="preserve">Kamerapositionen</w:t>
      </w:r>
    </w:p>
    <w:p>
      <w:pPr>
        <w:pStyle w:val="ListParagraph"/>
        <w:numPr>
          <w:ilvl w:val="0"/>
          <w:numId w:val="2"/>
        </w:numPr>
        <w:spacing w:after="80"/>
      </w:pPr>
      <w:r>
        <w:rPr>
          <w:sz w:val="22"/>
          <w:szCs w:val="22"/>
        </w:rPr>
        <w:t xml:space="preserve">Feste Kamera, frontal auf Halbnah-Distanz: trägt die Erklär-Passagen (Szene 2, 5, 7, 8, 9).</w:t>
      </w:r>
    </w:p>
    <w:p>
      <w:pPr>
        <w:pStyle w:val="ListParagraph"/>
        <w:numPr>
          <w:ilvl w:val="0"/>
          <w:numId w:val="2"/>
        </w:numPr>
        <w:spacing w:after="80"/>
      </w:pPr>
      <w:r>
        <w:rPr>
          <w:sz w:val="22"/>
          <w:szCs w:val="22"/>
        </w:rPr>
        <w:t xml:space="preserve">Bewegliche Kamera (Gimbal oder Handheld): begleitet Viktors Hinlegen und Positionswechsel (Szene 3, 4, 6) sowie die Detail-Fahrten auf Bildschirm und Stützstempel.</w:t>
      </w:r>
    </w:p>
    <w:p>
      <w:pPr>
        <w:spacing w:after="160"/>
      </w:pPr>
      <w:r>
        <w:rPr>
          <w:b/>
          <w:bCs/>
          <w:i w:val="false"/>
          <w:iCs w:val="false"/>
          <w:sz w:val="22"/>
          <w:szCs w:val="22"/>
        </w:rPr>
        <w:t xml:space="preserve">Ton</w:t>
      </w:r>
    </w:p>
    <w:p>
      <w:pPr>
        <w:spacing w:after="160"/>
      </w:pPr>
      <w:r>
        <w:rPr>
          <w:b w:val="false"/>
          <w:bCs w:val="false"/>
          <w:i w:val="false"/>
          <w:iCs w:val="false"/>
          <w:sz w:val="22"/>
          <w:szCs w:val="22"/>
        </w:rPr>
        <w:t xml:space="preserve">Ansteckmikrofon (Lavalier) für beide Sprecher — durch das Hinlegen und Drehen auf dem Simulator ist ein Richtmikrofon aus dem Bild schwer konstant zu halten.</w:t>
      </w:r>
    </w:p>
    <w:p>
      <w:pPr>
        <w:spacing w:after="160"/>
      </w:pPr>
      <w:r>
        <w:rPr>
          <w:b/>
          <w:bCs/>
          <w:i w:val="false"/>
          <w:iCs w:val="false"/>
          <w:sz w:val="22"/>
          <w:szCs w:val="22"/>
        </w:rPr>
        <w:t xml:space="preserve">Schwierige Stellen</w:t>
      </w:r>
    </w:p>
    <w:p>
      <w:pPr>
        <w:pStyle w:val="ListParagraph"/>
        <w:numPr>
          <w:ilvl w:val="0"/>
          <w:numId w:val="2"/>
        </w:numPr>
        <w:spacing w:after="80"/>
      </w:pPr>
      <w:r>
        <w:rPr>
          <w:sz w:val="22"/>
          <w:szCs w:val="22"/>
        </w:rPr>
        <w:t xml:space="preserve">Szene 4: Timing zwischen Sprechtext und sichtbarer Bewegung der Stützstempel vorher ohne Ton proben.</w:t>
      </w:r>
    </w:p>
    <w:p>
      <w:pPr>
        <w:pStyle w:val="ListParagraph"/>
        <w:numPr>
          <w:ilvl w:val="0"/>
          <w:numId w:val="2"/>
        </w:numPr>
        <w:spacing w:after="80"/>
      </w:pPr>
      <w:r>
        <w:rPr>
          <w:sz w:val="22"/>
          <w:szCs w:val="22"/>
        </w:rPr>
        <w:t xml:space="preserve">Szene 6: Wenn keine zwei Personen unterschiedlicher Größe verfügbar sind, muss die Grafik exakt synchron zum Text sitzen — enge Abstimmung mit dem Schnitt.</w:t>
      </w:r>
    </w:p>
    <w:p>
      <w:pPr>
        <w:pStyle w:val="ListParagraph"/>
        <w:numPr>
          <w:ilvl w:val="0"/>
          <w:numId w:val="2"/>
        </w:numPr>
        <w:spacing w:after="80"/>
      </w:pPr>
      <w:r>
        <w:rPr>
          <w:sz w:val="22"/>
          <w:szCs w:val="22"/>
        </w:rPr>
        <w:t xml:space="preserve">Szene 1: Der Hook muss in einem sauberen Take sitzen, ohne Zögern. Mehrere Anläufe einplanen.</w:t>
      </w:r>
    </w:p>
    <w:p>
      <w:pPr>
        <w:pStyle w:val="ListParagraph"/>
        <w:numPr>
          <w:ilvl w:val="0"/>
          <w:numId w:val="2"/>
        </w:numPr>
        <w:spacing w:after="80"/>
      </w:pPr>
      <w:r>
        <w:rPr>
          <w:sz w:val="22"/>
          <w:szCs w:val="22"/>
        </w:rPr>
        <w:t xml:space="preserve">Der Sprecherwechsel Elias/Viktor darf nicht wie ein Themenwechsel wirken, sondern wie ein natürlicher Übergang im Gespräch — im Schnitt auf nahtlose Anschlüsse achten.</w:t>
      </w:r>
    </w:p>
    <w:p>
      <w:pPr>
        <w:spacing w:after="160"/>
      </w:pPr>
      <w:r>
        <w:rPr>
          <w:b/>
          <w:bCs/>
          <w:i w:val="false"/>
          <w:iCs w:val="false"/>
          <w:sz w:val="22"/>
          <w:szCs w:val="22"/>
        </w:rPr>
        <w:t xml:space="preserve">Optionale Bauchbinden/Einblendungen (Übersicht)</w:t>
      </w:r>
    </w:p>
    <w:p>
      <w:pPr>
        <w:pStyle w:val="ListParagraph"/>
        <w:numPr>
          <w:ilvl w:val="0"/>
          <w:numId w:val="2"/>
        </w:numPr>
        <w:spacing w:after="80"/>
      </w:pPr>
      <w:r>
        <w:rPr>
          <w:sz w:val="22"/>
          <w:szCs w:val="22"/>
        </w:rPr>
        <w:t xml:space="preserve">„12 Messpunkte · Millibar = Gegendruck im Luftschlauch" (Szene 3)</w:t>
      </w:r>
    </w:p>
    <w:p>
      <w:pPr>
        <w:pStyle w:val="ListParagraph"/>
        <w:numPr>
          <w:ilvl w:val="0"/>
          <w:numId w:val="2"/>
        </w:numPr>
        <w:spacing w:after="80"/>
      </w:pPr>
      <w:r>
        <w:rPr>
          <w:sz w:val="22"/>
          <w:szCs w:val="22"/>
        </w:rPr>
        <w:t xml:space="preserve">„Schulter: viel Druck → weicher / Lende: wenig Druck → fester" (Szene 4)</w:t>
      </w:r>
    </w:p>
    <w:p>
      <w:pPr>
        <w:pStyle w:val="ListParagraph"/>
        <w:numPr>
          <w:ilvl w:val="0"/>
          <w:numId w:val="2"/>
        </w:numPr>
        <w:spacing w:after="80"/>
      </w:pPr>
      <w:r>
        <w:rPr>
          <w:sz w:val="22"/>
          <w:szCs w:val="22"/>
        </w:rPr>
        <w:t xml:space="preserve">„Lordose-Position: individuell verschieden (Messreihe n = 60)" (Szene 6)</w:t>
      </w:r>
    </w:p>
    <w:p>
      <w:pPr>
        <w:pStyle w:val="ListParagraph"/>
        <w:numPr>
          <w:ilvl w:val="0"/>
          <w:numId w:val="2"/>
        </w:numPr>
        <w:spacing w:after="80"/>
      </w:pPr>
      <w:r>
        <w:rPr>
          <w:sz w:val="22"/>
          <w:szCs w:val="22"/>
        </w:rPr>
        <w:t xml:space="preserve">„Zonenzahl ≠ Passgenauigkeit" (Szene 7)</w:t>
      </w:r>
    </w:p>
    <w:p>
      <w:pPr>
        <w:pStyle w:val="Heading1"/>
        <w:spacing w:after="160" w:before="400"/>
      </w:pPr>
      <w:r>
        <w:t xml:space="preserve">D. Ableitungen für andere Formate</w:t>
      </w:r>
    </w:p>
    <w:p>
      <w:pPr>
        <w:spacing w:after="160"/>
      </w:pPr>
      <w:r>
        <w:rPr>
          <w:b/>
          <w:bCs/>
          <w:i w:val="false"/>
          <w:iCs w:val="false"/>
          <w:sz w:val="22"/>
          <w:szCs w:val="22"/>
        </w:rPr>
        <w:t xml:space="preserve">Shorts/Reels-Vorschlag (&lt; 60 s), aus Szene 1 + 4 + 7</w:t>
      </w:r>
    </w:p>
    <w:p>
      <w:pPr>
        <w:spacing w:after="160"/>
      </w:pPr>
      <w:r>
        <w:rPr>
          <w:b w:val="false"/>
          <w:bCs w:val="false"/>
          <w:i w:val="false"/>
          <w:iCs w:val="false"/>
          <w:sz w:val="22"/>
          <w:szCs w:val="22"/>
        </w:rPr>
        <w:t xml:space="preserve">„Viel Druck, also mehr Stütze? An der Schulter ist genau das Gegenteil richtig — die Zone wird dort weicher, obwohl der Druck hoch ist. An der Lendenwirbelsäule ist es umgekehrt: wenig Druck, aber mehr Stütze. Deshalb sagt die Zahl der Zonen wenig. Entscheidend ist, ob sie zu Ihrem Körper gehören." Schnitt: Hook-Bild (Szene 1) → Stützstempel-Detail (Szene 4) → Schlusssatz direkt in Kamera (Szene 7). Ca. 45–50 s.</w:t>
      </w:r>
    </w:p>
    <w:p>
      <w:pPr>
        <w:spacing w:after="160"/>
      </w:pPr>
      <w:r>
        <w:rPr>
          <w:b/>
          <w:bCs/>
          <w:i w:val="false"/>
          <w:iCs w:val="false"/>
          <w:sz w:val="22"/>
          <w:szCs w:val="22"/>
        </w:rPr>
        <w:t xml:space="preserve">Thumbnail-Vorschlag</w:t>
      </w:r>
    </w:p>
    <w:p>
      <w:pPr>
        <w:spacing w:after="160"/>
      </w:pPr>
      <w:r>
        <w:rPr>
          <w:b w:val="false"/>
          <w:bCs w:val="false"/>
          <w:i w:val="false"/>
          <w:iCs w:val="false"/>
          <w:sz w:val="22"/>
          <w:szCs w:val="22"/>
        </w:rPr>
        <w:t xml:space="preserve">Motiv: Nahaufnahme des Vitario-Bildschirms mit zwei farblich hervorgehobenen Punkten (Schulter, Lendenwirbelsäule), im unscharfen Hintergrund Elias/Viktor am Simulator. Textzeile: „Viel Druck = mehr Stütze? Nicht immer."</w:t>
      </w:r>
    </w:p>
    <w:p>
      <w:pPr>
        <w:spacing w:after="160"/>
      </w:pPr>
      <w:r>
        <w:rPr>
          <w:b/>
          <w:bCs/>
          <w:i w:val="false"/>
          <w:iCs w:val="false"/>
          <w:sz w:val="22"/>
          <w:szCs w:val="22"/>
        </w:rPr>
        <w:t xml:space="preserve">YouTube-Titel (unter 60 Zeichen)</w:t>
      </w:r>
    </w:p>
    <w:p>
      <w:pPr>
        <w:spacing w:after="160"/>
      </w:pPr>
      <w:r>
        <w:rPr>
          <w:b w:val="false"/>
          <w:bCs w:val="false"/>
          <w:i w:val="false"/>
          <w:iCs w:val="false"/>
          <w:sz w:val="22"/>
          <w:szCs w:val="22"/>
        </w:rPr>
        <w:t xml:space="preserve">„Was eine Zone in der Matratze wirklich macht" (46 Zeichen)</w:t>
      </w:r>
    </w:p>
    <w:p>
      <w:pPr>
        <w:spacing w:after="160"/>
      </w:pPr>
      <w:r>
        <w:rPr>
          <w:b/>
          <w:bCs/>
          <w:i w:val="false"/>
          <w:iCs w:val="false"/>
          <w:sz w:val="22"/>
          <w:szCs w:val="22"/>
        </w:rPr>
        <w:t xml:space="preserve">YouTube-Beschreibung (150–200 Wörter)</w:t>
      </w:r>
    </w:p>
    <w:p>
      <w:pPr>
        <w:spacing w:after="160"/>
      </w:pPr>
      <w:r>
        <w:rPr>
          <w:b w:val="false"/>
          <w:bCs w:val="false"/>
          <w:i w:val="false"/>
          <w:iCs w:val="false"/>
          <w:sz w:val="22"/>
          <w:szCs w:val="22"/>
        </w:rPr>
        <w:t xml:space="preserve">Mehr Druck bedeutet nicht automatisch mehr Stütze — an der Schulter ist es sogar umgekehrt. In diesem Video zeigen Elias und Viktor von der Keiten Schlafberatung am Vitario-Liegesimulator, was eine Zone in einer Matratze wirklich tut: keine feste Materialeinteilung, sondern eine Übersetzung von gemessenem Druck in Stützhärte, die sich nach der anatomischen Bedeutung der Stelle richtet. Sie erfahren, warum die Lendenwirbelsäule nicht bei jedem Menschen an derselben Stelle sitzt, warum eine ab Werk fest eingeteilte Matratze immer nur den Durchschnitt trifft, und warum die Zahl der Zonen — ob fünf, sieben oder vierundzwanzig — allein wenig über die Passgenauigkeit aussagt.</w:t>
      </w:r>
    </w:p>
    <w:p>
      <w:pPr>
        <w:spacing w:after="160"/>
      </w:pPr>
      <w:r>
        <w:rPr>
          <w:b w:val="false"/>
          <w:bCs w:val="false"/>
          <w:i w:val="false"/>
          <w:iCs w:val="false"/>
          <w:sz w:val="22"/>
          <w:szCs w:val="22"/>
        </w:rPr>
        <w:t xml:space="preserve">Die Ergebnisse beruhen auf 60 ausgewerteten Liegedruck-Messungen aus unserer eigenen Schlafberatung, Stand Juli 2026. Den vollständigen Artikel mit allen Hintergründen lesen Sie auf unserer Website: [Link zum Blogartikel „Was ist eine Zone bei einer Matratze"].</w:t>
      </w:r>
    </w:p>
    <w:p>
      <w:pPr>
        <w:spacing w:after="160"/>
      </w:pPr>
      <w:r>
        <w:rPr>
          <w:b w:val="false"/>
          <w:bCs w:val="false"/>
          <w:i w:val="false"/>
          <w:iCs w:val="false"/>
          <w:sz w:val="22"/>
          <w:szCs w:val="22"/>
        </w:rPr>
        <w:t xml:space="preserve">Keiten Schlafberatung, Niederrhein, seit 1963.</w:t>
      </w:r>
    </w:p>
    <w:p>
      <w:pPr>
        <w:pStyle w:val="Heading1"/>
        <w:spacing w:after="160" w:before="400"/>
      </w:pPr>
      <w:r>
        <w:t xml:space="preserve">E. Was bewusst weggelassen wurde</w:t>
      </w:r>
    </w:p>
    <w:p>
      <w:pPr>
        <w:pStyle w:val="ListParagraph"/>
        <w:numPr>
          <w:ilvl w:val="0"/>
          <w:numId w:val="3"/>
        </w:numPr>
        <w:spacing w:after="120"/>
      </w:pPr>
      <w:r>
        <w:rPr>
          <w:sz w:val="22"/>
          <w:szCs w:val="22"/>
        </w:rPr>
        <w:t xml:space="preserve">Die genaue Gewichtung zwischen Rücken- und Seitenmessung im Systemvorschlag (KC-0003: 48 von 52 Fällen näher an der Rückenmessung). Die Quelle nennt dies selbst als offene Frage — die exakte Formel ist unbekannt. Im Video hätte das eine Detailfrage aufgeworfen, die nicht beantwortbar ist, ohne die im Skript geforderte Offenheit zu verletzen.</w:t>
      </w:r>
    </w:p>
    <w:p>
      <w:pPr>
        <w:pStyle w:val="ListParagraph"/>
        <w:numPr>
          <w:ilvl w:val="0"/>
          <w:numId w:val="3"/>
        </w:numPr>
        <w:spacing w:after="120"/>
      </w:pPr>
      <w:r>
        <w:rPr>
          <w:sz w:val="22"/>
          <w:szCs w:val="22"/>
        </w:rPr>
        <w:t xml:space="preserve">Der methodische Vorbehalt zur Korrelation (ob die Rücken-Dominanz eine reale Übergewichtung ist oder nur an geringerer Streuung der Rückenwerte liegt). Zu statistisch-abstrakt für ein Erklärvideo mit Laienpublikum — gehört in den Fachartikel bzw. die Wissenskarte, nicht ins Video.</w:t>
      </w:r>
    </w:p>
    <w:p>
      <w:pPr>
        <w:pStyle w:val="ListParagraph"/>
        <w:numPr>
          <w:ilvl w:val="0"/>
          <w:numId w:val="3"/>
        </w:numPr>
        <w:spacing w:after="120"/>
      </w:pPr>
      <w:r>
        <w:rPr>
          <w:sz w:val="22"/>
          <w:szCs w:val="22"/>
        </w:rPr>
        <w:t xml:space="preserve">Der Ausblick auf das Messgerät ProSim4D und die ungeklärte Ursache der individuellen Lordose-Streuung (Rumpflänge/Sitzhöhe werden aktuell nicht erhoben). Rein spekulativ zum jetzigen Stand — ein Verweis auf ein noch nicht verfügbares Gerät hätte falsche Erwartungen geweckt.</w:t>
      </w:r>
    </w:p>
    <w:p>
      <w:pPr>
        <w:spacing w:after="160"/>
      </w:pPr>
      <w:r>
        <w:rPr>
          <w:b w:val="false"/>
          <w:bCs w:val="false"/>
          <w:i w:val="false"/>
          <w:iCs w:val="false"/>
          <w:sz w:val="22"/>
          <w:szCs w:val="22"/>
        </w:rPr>
        <w:t xml:space="preserve">Zusätzlich wurden die exakten Korrelationswerte aus KC-0003 (r = −0,58 an der Schulter, r = +0,33 im oberen Rumpfbereich) nicht gesprochen, sondern nur optional als Grafik vorgesehen — als gesprochener Text wären sie für ein Publikum ohne Statistik-Hintergrund nicht verständlich gewesen, obwohl sie die inhaltliche Grundlage von Szene 4 bilden.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2026-07-29T05:52:45.218Z</dcterms:created>
  <dcterms:modified xsi:type="dcterms:W3CDTF">2026-07-29T05:52:45.219Z</dcterms:modified>
</cp:coreProperties>
</file>

<file path=docProps/custom.xml><?xml version="1.0" encoding="utf-8"?>
<Properties xmlns="http://schemas.openxmlformats.org/officeDocument/2006/custom-properties" xmlns:vt="http://schemas.openxmlformats.org/officeDocument/2006/docPropsVTypes"/>
</file>