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5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240" w:lineRule="auto"/>
        <w:rPr>
          <w:b/>
        </w:rPr>
      </w:pPr>
      <w:r>
        <w:rPr>
          <w:b/>
        </w:rPr>
        <w:t xml:space="preserve">Modelagem</w:t>
      </w:r>
      <w:r>
        <w:rPr>
          <w:b/>
        </w:rPr>
        <w:t xml:space="preserve"> estatística</w:t>
      </w:r>
      <w:r>
        <w:rPr>
          <w:b/>
        </w:rPr>
        <w:t xml:space="preserve"> aplicada </w:t>
      </w:r>
      <w:r>
        <w:rPr>
          <w:b/>
        </w:rPr>
        <w:t xml:space="preserve">na prevenção ao </w:t>
      </w:r>
      <w:r>
        <w:rPr>
          <w:b/>
          <w:i/>
          <w:iCs/>
        </w:rPr>
        <w:t xml:space="preserve">churn</w:t>
      </w:r>
      <w:r/>
    </w:p>
    <w:p>
      <w:pPr>
        <w:spacing w:line="240" w:lineRule="auto"/>
      </w:pPr>
      <w:r/>
      <w:r/>
    </w:p>
    <w:p>
      <w:pPr>
        <w:spacing w:line="240" w:lineRule="auto"/>
      </w:pPr>
      <w:r/>
      <w:r/>
    </w:p>
    <w:p>
      <w:pPr>
        <w:jc w:val="center"/>
        <w:spacing w:line="240" w:lineRule="auto"/>
        <w:rPr>
          <w:b/>
          <w:color w:val="FF0000"/>
          <w:sz w:val="18"/>
        </w:rPr>
      </w:pPr>
      <w:r>
        <w:t xml:space="preserve">Lucas Franz Monteiro</w:t>
      </w:r>
      <w:r>
        <w:t xml:space="preserve">¹</w:t>
      </w:r>
      <w:r>
        <w:t xml:space="preserve">;</w:t>
      </w:r>
      <w:r>
        <w:rPr>
          <w:vertAlign w:val="superscript"/>
        </w:rPr>
        <w:t xml:space="preserve"> </w:t>
      </w:r>
      <w:r>
        <w:t xml:space="preserve">A</w:t>
      </w:r>
      <w:r>
        <w:t xml:space="preserve">na Julia Righetto</w:t>
      </w:r>
      <w:r>
        <w:rPr>
          <w:vertAlign w:val="superscript"/>
        </w:rPr>
        <w:t xml:space="preserve">2</w:t>
      </w:r>
      <w:r/>
    </w:p>
    <w:p>
      <w:pPr>
        <w:spacing w:line="240" w:lineRule="auto"/>
        <w:tabs>
          <w:tab w:val="left" w:pos="6465" w:leader="none"/>
        </w:tabs>
        <w:rPr>
          <w:b/>
          <w:sz w:val="18"/>
        </w:rPr>
      </w:pPr>
      <w:r>
        <w:rPr>
          <w:b/>
          <w:sz w:val="18"/>
        </w:rPr>
      </w:r>
      <w:r/>
    </w:p>
    <w:p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 xml:space="preserve">1</w:t>
      </w:r>
      <w:r>
        <w:t xml:space="preserve"> </w:t>
      </w:r>
      <w:r>
        <w:rPr>
          <w:sz w:val="18"/>
          <w:szCs w:val="18"/>
        </w:rPr>
        <w:t xml:space="preserve">Risco e Modelagem</w:t>
      </w:r>
      <w:r>
        <w:rPr>
          <w:sz w:val="18"/>
          <w:szCs w:val="18"/>
        </w:rPr>
        <w:t xml:space="preserve">. </w:t>
      </w:r>
      <w:r>
        <w:rPr>
          <w:sz w:val="18"/>
          <w:szCs w:val="18"/>
        </w:rPr>
        <w:t xml:space="preserve">Rua Francisco Freire</w:t>
      </w:r>
      <w:r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Jardim Carlos Cooper</w:t>
      </w:r>
      <w:r>
        <w:rPr>
          <w:sz w:val="18"/>
          <w:szCs w:val="18"/>
        </w:rPr>
        <w:t xml:space="preserve">; </w:t>
      </w:r>
      <w:r>
        <w:rPr>
          <w:sz w:val="18"/>
          <w:szCs w:val="18"/>
        </w:rPr>
        <w:t xml:space="preserve">08664</w:t>
      </w:r>
      <w:r>
        <w:rPr>
          <w:sz w:val="18"/>
          <w:szCs w:val="18"/>
        </w:rPr>
        <w:t xml:space="preserve">-</w:t>
      </w:r>
      <w:r>
        <w:rPr>
          <w:sz w:val="18"/>
          <w:szCs w:val="18"/>
        </w:rPr>
        <w:t xml:space="preserve">3</w:t>
      </w:r>
      <w:r>
        <w:rPr>
          <w:sz w:val="18"/>
          <w:szCs w:val="18"/>
        </w:rPr>
        <w:t xml:space="preserve">00</w:t>
      </w: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 xml:space="preserve">Suzano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 xml:space="preserve">São Paulo</w:t>
      </w:r>
      <w:r>
        <w:rPr>
          <w:sz w:val="18"/>
          <w:szCs w:val="18"/>
        </w:rPr>
        <w:t xml:space="preserve">,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Brasil</w:t>
      </w:r>
      <w:r>
        <w:rPr>
          <w:sz w:val="18"/>
          <w:szCs w:val="18"/>
        </w:rPr>
        <w:t xml:space="preserve"> </w:t>
      </w:r>
      <w:r/>
    </w:p>
    <w:p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  <w:lang w:val="en-US"/>
        </w:rPr>
        <w:t xml:space="preserve">2</w:t>
      </w:r>
      <w:r>
        <w:rPr>
          <w:sz w:val="18"/>
          <w:szCs w:val="18"/>
          <w:vertAlign w:val="superscript"/>
          <w:lang w:val="en-US"/>
        </w:rPr>
        <w:t xml:space="preserve"> </w:t>
      </w:r>
      <w:r>
        <w:rPr>
          <w:sz w:val="18"/>
          <w:szCs w:val="18"/>
          <w:vertAlign w:val="superscript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Head in Statistics and Customer Experience, ALVAZ </w:t>
      </w:r>
      <w:r>
        <w:rPr>
          <w:sz w:val="18"/>
          <w:szCs w:val="18"/>
          <w:lang w:val="en-US"/>
        </w:rPr>
        <w:t xml:space="preserve">Agritech</w:t>
      </w:r>
      <w:r>
        <w:rPr>
          <w:sz w:val="18"/>
          <w:szCs w:val="18"/>
          <w:lang w:val="en-US"/>
        </w:rPr>
        <w:t xml:space="preserve">, Av. </w:t>
      </w:r>
      <w:r>
        <w:rPr>
          <w:sz w:val="18"/>
          <w:szCs w:val="18"/>
        </w:rPr>
        <w:t xml:space="preserve">Ayrton Senna da Silva, 600, Londrina, Paraná, Brasil</w:t>
      </w:r>
      <w:r/>
    </w:p>
    <w:p>
      <w:pPr>
        <w:ind w:left="720"/>
        <w:spacing w:line="240" w:lineRule="auto"/>
      </w:pPr>
      <w:r/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center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rPr>
          <w:b/>
        </w:rPr>
      </w:pPr>
      <w:r>
        <w:rPr>
          <w:b/>
        </w:rPr>
      </w:r>
      <w:r/>
    </w:p>
    <w:p>
      <w:pPr>
        <w:rPr>
          <w:b/>
        </w:rPr>
      </w:pPr>
      <w:r>
        <w:rPr>
          <w:b/>
        </w:rPr>
      </w:r>
      <w:r/>
    </w:p>
    <w:p>
      <w:pPr>
        <w:rPr>
          <w:b/>
        </w:rPr>
        <w:sectPr>
          <w:headerReference w:type="default" r:id="rId9"/>
          <w:headerReference w:type="even" r:id="rId10"/>
          <w:headerReference w:type="first" r:id="rId11"/>
          <w:footerReference w:type="default" r:id="rId13"/>
          <w:footerReference w:type="even" r:id="rId14"/>
          <w:footerReference w:type="first" r:id="rId15"/>
          <w:footnotePr/>
          <w:endnotePr/>
          <w:type w:val="nextPage"/>
          <w:pgSz w:w="11906" w:h="16838" w:orient="portrait"/>
          <w:pgMar w:top="1418" w:right="1418" w:bottom="1418" w:left="1418" w:header="709" w:footer="709" w:gutter="0"/>
          <w:cols w:num="1" w:sep="0" w:space="708" w:equalWidth="1"/>
          <w:docGrid w:linePitch="360"/>
          <w:titlePg/>
        </w:sectPr>
      </w:pPr>
      <w:r>
        <w:rPr>
          <w:b/>
        </w:rPr>
      </w:r>
      <w:r/>
    </w:p>
    <w:p>
      <w:pPr>
        <w:jc w:val="center"/>
        <w:spacing w:line="240" w:lineRule="auto"/>
        <w:rPr>
          <w:b/>
        </w:rPr>
      </w:pPr>
      <w:r>
        <w:rPr>
          <w:b/>
        </w:rPr>
        <w:t xml:space="preserve">Modelagem</w:t>
      </w:r>
      <w:r>
        <w:rPr>
          <w:b/>
        </w:rPr>
        <w:t xml:space="preserve"> estatística</w:t>
      </w:r>
      <w:r>
        <w:rPr>
          <w:b/>
        </w:rPr>
        <w:t xml:space="preserve"> aplicada </w:t>
      </w:r>
      <w:r>
        <w:rPr>
          <w:b/>
        </w:rPr>
        <w:t xml:space="preserve">na prevenção ao </w:t>
      </w:r>
      <w:r>
        <w:rPr>
          <w:b/>
          <w:i/>
          <w:iCs/>
        </w:rPr>
        <w:t xml:space="preserve">churn</w:t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  <w:t xml:space="preserve">Resumo</w:t>
      </w:r>
      <w:r/>
    </w:p>
    <w:p>
      <w:pPr>
        <w:pStyle w:val="1128"/>
        <w:ind w:left="0"/>
        <w:spacing w:line="360" w:lineRule="auto"/>
        <w:rPr>
          <w:bCs/>
        </w:rPr>
      </w:pPr>
      <w:r>
        <w:rPr>
          <w:bCs/>
          <w:highlight w:val="yellow"/>
        </w:rPr>
        <w:t xml:space="preserve">TODO: Escrever resumo ao final do trabalho</w:t>
      </w:r>
      <w:r/>
    </w:p>
    <w:p>
      <w:pPr>
        <w:pStyle w:val="1128"/>
        <w:ind w:left="0"/>
        <w:spacing w:line="360" w:lineRule="auto"/>
        <w:rPr>
          <w:b/>
        </w:rPr>
      </w:pPr>
      <w:r>
        <w:rPr>
          <w:b/>
        </w:rPr>
        <w:t xml:space="preserve">Palavras-chave:</w:t>
      </w:r>
      <w:r>
        <w:rPr>
          <w:bCs/>
        </w:rPr>
        <w:t xml:space="preserve"> </w:t>
      </w:r>
      <w:r>
        <w:rPr>
          <w:bCs/>
          <w:highlight w:val="yellow"/>
        </w:rPr>
        <w:t xml:space="preserve">(inserir até cinco palavras diferentes das contidas no título, separadas por ponto-e-vírgula).</w:t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  <w:t xml:space="preserve">Introdução</w:t>
      </w:r>
      <w:r/>
    </w:p>
    <w:p>
      <w:pPr>
        <w:spacing w:line="360" w:lineRule="auto"/>
      </w:pPr>
      <w:r/>
      <w:r/>
    </w:p>
    <w:p>
      <w:pPr>
        <w:ind w:firstLine="360"/>
        <w:spacing w:line="360" w:lineRule="auto"/>
      </w:pPr>
      <w:r>
        <w:t xml:space="preserve">O avanço tecnológico</w:t>
      </w:r>
      <w:r>
        <w:t xml:space="preserve">,</w:t>
      </w:r>
      <w:r>
        <w:t xml:space="preserve"> </w:t>
      </w:r>
      <w:r>
        <w:t xml:space="preserve">impulsionado pela globalização</w:t>
      </w:r>
      <w:r>
        <w:t xml:space="preserve"> e </w:t>
      </w:r>
      <w:r>
        <w:t xml:space="preserve">por </w:t>
      </w:r>
      <w:r>
        <w:t xml:space="preserve">políticas públicas de inclusão digital</w:t>
      </w:r>
      <w:r>
        <w:t xml:space="preserve">,</w:t>
      </w:r>
      <w:r>
        <w:t xml:space="preserve"> </w:t>
      </w:r>
      <w:r>
        <w:t xml:space="preserve">têm como uma das principais favorecidas a disseminação da informação, </w:t>
      </w:r>
      <w:r>
        <w:t xml:space="preserve">viabilizada</w:t>
      </w:r>
      <w:r>
        <w:t xml:space="preserve"> pragmaticamente, pelas companhias de telecomunicação.</w:t>
      </w:r>
      <w:r/>
    </w:p>
    <w:p>
      <w:pPr>
        <w:ind w:firstLine="708"/>
        <w:spacing w:line="360" w:lineRule="auto"/>
      </w:pPr>
      <w:r>
        <w:t xml:space="preserve">De acordo com </w:t>
      </w:r>
      <w:r>
        <w:t xml:space="preserve">o Instituto Brasileiro de Geografia e Estatística [IBGE] (2019</w:t>
      </w:r>
      <w:r>
        <w:t xml:space="preserve">b</w:t>
      </w:r>
      <w:r>
        <w:t xml:space="preserve">),</w:t>
      </w:r>
      <w:r>
        <w:t xml:space="preserve"> </w:t>
      </w:r>
      <w:r>
        <w:t xml:space="preserve">82</w:t>
      </w:r>
      <w:r>
        <w:t xml:space="preserve">,</w:t>
      </w:r>
      <w:r>
        <w:t xml:space="preserve">7% dos domicílios brasileiros, em 2019, tinham acesso à internet</w:t>
      </w:r>
      <w:r>
        <w:t xml:space="preserve">,</w:t>
      </w:r>
      <w:r>
        <w:t xml:space="preserve"> </w:t>
      </w:r>
      <w:r>
        <w:t xml:space="preserve">tendo</w:t>
      </w:r>
      <w:r>
        <w:t xml:space="preserve"> a região sudeste </w:t>
      </w:r>
      <w:r>
        <w:t xml:space="preserve">o </w:t>
      </w:r>
      <w:r>
        <w:t xml:space="preserve">maior </w:t>
      </w:r>
      <w:r>
        <w:t xml:space="preserve">índice</w:t>
      </w:r>
      <w:r>
        <w:t xml:space="preserve">, </w:t>
      </w:r>
      <w:r>
        <w:t xml:space="preserve">na qual </w:t>
      </w:r>
      <w:r>
        <w:t xml:space="preserve">84</w:t>
      </w:r>
      <w:r>
        <w:t xml:space="preserve">,</w:t>
      </w:r>
      <w:r>
        <w:t xml:space="preserve">9%</w:t>
      </w:r>
      <w:r>
        <w:t xml:space="preserve"> da população </w:t>
      </w:r>
      <w:r>
        <w:t xml:space="preserve">dispunha de </w:t>
      </w:r>
      <w:r>
        <w:t xml:space="preserve">acesso</w:t>
      </w:r>
      <w:r>
        <w:t xml:space="preserve"> à internet</w:t>
      </w:r>
      <w:r>
        <w:t xml:space="preserve">.</w:t>
      </w:r>
      <w:r>
        <w:t xml:space="preserve"> </w:t>
      </w:r>
      <w:r>
        <w:t xml:space="preserve">Ademais</w:t>
      </w:r>
      <w:r>
        <w:t xml:space="preserve">, 81% d</w:t>
      </w:r>
      <w:r>
        <w:t xml:space="preserve">os</w:t>
      </w:r>
      <w:r>
        <w:t xml:space="preserve"> </w:t>
      </w:r>
      <w:r>
        <w:t xml:space="preserve">indivíduos </w:t>
      </w:r>
      <w:r>
        <w:t xml:space="preserve">com </w:t>
      </w:r>
      <w:r>
        <w:t xml:space="preserve">idade</w:t>
      </w:r>
      <w:r>
        <w:t xml:space="preserve"> mínima de dez anos</w:t>
      </w:r>
      <w:r>
        <w:t xml:space="preserve">, </w:t>
      </w:r>
      <w:r>
        <w:t xml:space="preserve">possuía</w:t>
      </w:r>
      <w:r>
        <w:t xml:space="preserve"> </w:t>
      </w:r>
      <w:r>
        <w:rPr>
          <w:i/>
          <w:iCs/>
        </w:rPr>
        <w:t xml:space="preserve">smartphone</w:t>
      </w:r>
      <w:r>
        <w:t xml:space="preserve"> de uso pessoal</w:t>
      </w:r>
      <w:r>
        <w:t xml:space="preserve">, </w:t>
      </w:r>
      <w:r>
        <w:t xml:space="preserve">dos quais </w:t>
      </w:r>
      <w:r>
        <w:t xml:space="preserve">91% acessavam</w:t>
      </w:r>
      <w:r>
        <w:t xml:space="preserve"> </w:t>
      </w:r>
      <w:r>
        <w:t xml:space="preserve">a</w:t>
      </w:r>
      <w:r>
        <w:t xml:space="preserve"> internet através do dispositivo.</w:t>
      </w:r>
      <w:r/>
    </w:p>
    <w:p>
      <w:pPr>
        <w:ind w:firstLine="360"/>
        <w:spacing w:line="360" w:lineRule="auto"/>
      </w:pPr>
      <w:r>
        <w:t xml:space="preserve">No mesmo ano, a quantidade de empresas do setor de telecomunicações foi alavancada em 13%, com relação ao ano pregresso, conta</w:t>
      </w:r>
      <w:r>
        <w:t xml:space="preserve">bilizando 11.043 companhias (IBGE, 2019a). Esse crescimento naturalmente favorece a competitividade no setor, e nesse cenário, para Ferreira (2012) é fundamental que as companhias fidelizem seus clientes, a fim de se manterem competitivas, e minimizarem o </w:t>
      </w:r>
      <w:r>
        <w:rPr>
          <w:i/>
          <w:iCs/>
        </w:rPr>
        <w:t xml:space="preserve">churn</w:t>
      </w:r>
      <w:r>
        <w:t xml:space="preserve">, evento que, de acordo com </w:t>
      </w:r>
      <w:r>
        <w:t xml:space="preserve">Glady</w:t>
      </w:r>
      <w:r>
        <w:t xml:space="preserve"> e colaboradores (2009), é caracterizado pela perda de clientes para a concorrência.</w:t>
      </w:r>
      <w:r/>
    </w:p>
    <w:p>
      <w:pPr>
        <w:ind w:firstLine="360"/>
        <w:spacing w:line="360" w:lineRule="auto"/>
      </w:pPr>
      <w:r>
        <w:t xml:space="preserve">Uma vez que as estratégia</w:t>
      </w:r>
      <w:r>
        <w:t xml:space="preserve">s</w:t>
      </w:r>
      <w:r>
        <w:t xml:space="preserve"> de retenção de clientes geram retornos sobre o investimento superiores às de captação de novos consumidores (</w:t>
      </w:r>
      <w:r>
        <w:t xml:space="preserve">Jahromi</w:t>
      </w:r>
      <w:r>
        <w:t xml:space="preserve"> e</w:t>
      </w:r>
      <w:r>
        <w:t xml:space="preserve">t al.</w:t>
      </w:r>
      <w:r>
        <w:t xml:space="preserve">, 2014), </w:t>
      </w:r>
      <w:r>
        <w:rPr>
          <w:color w:val="000000"/>
        </w:rPr>
        <w:t xml:space="preserve">o </w:t>
      </w:r>
      <w:r>
        <w:rPr>
          <w:color w:val="000000"/>
        </w:rPr>
        <w:t xml:space="preserve">presente </w:t>
      </w:r>
      <w:r>
        <w:rPr>
          <w:color w:val="000000"/>
        </w:rPr>
        <w:t xml:space="preserve">trabalho tem como objetivo aplicar técnicas de</w:t>
      </w:r>
      <w:r>
        <w:t xml:space="preserve"> modelagem estatística, a saber, regressão logística binária clássica e multinível, </w:t>
      </w:r>
      <w:r>
        <w:t xml:space="preserve">na prevenção ao </w:t>
      </w:r>
      <w:r>
        <w:rPr>
          <w:i/>
          <w:iCs/>
        </w:rPr>
        <w:t xml:space="preserve">churn</w:t>
      </w:r>
      <w:r>
        <w:t xml:space="preserve">,</w:t>
      </w:r>
      <w:r>
        <w:t xml:space="preserve"> </w:t>
      </w:r>
      <w:r>
        <w:t xml:space="preserve">auxiliando a companhia na tomada de decisões proativas para retenção de seus </w:t>
      </w:r>
      <w:r>
        <w:t xml:space="preserve">clientes</w:t>
      </w:r>
      <w:r>
        <w:t xml:space="preserve">,</w:t>
      </w:r>
      <w:r>
        <w:t xml:space="preserve"> </w:t>
      </w:r>
      <w:r>
        <w:t xml:space="preserve">além de contribuir na elucidação das </w:t>
      </w:r>
      <w:r>
        <w:t xml:space="preserve">características </w:t>
      </w:r>
      <w:r>
        <w:t xml:space="preserve">que mais </w:t>
      </w:r>
      <w:r>
        <w:t xml:space="preserve">impacta</w:t>
      </w:r>
      <w:r>
        <w:t xml:space="preserve">m</w:t>
      </w:r>
      <w:r>
        <w:t xml:space="preserve"> a</w:t>
      </w:r>
      <w:r>
        <w:t xml:space="preserve"> probabilidade </w:t>
      </w:r>
      <w:r>
        <w:t xml:space="preserve">de ocorrência </w:t>
      </w:r>
      <w:r>
        <w:t xml:space="preserve">d</w:t>
      </w:r>
      <w:r>
        <w:t xml:space="preserve">o fenômeno</w:t>
      </w:r>
      <w: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  <w:t xml:space="preserve">Material e Métodos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O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dataset</w:t>
      </w:r>
      <w:r>
        <w:rPr>
          <w:color w:val="000000"/>
        </w:rPr>
        <w:t xml:space="preserve"> utilizado no trabalho é composto por</w:t>
      </w:r>
      <w:r>
        <w:rPr>
          <w:color w:val="000000"/>
        </w:rPr>
        <w:t xml:space="preserve"> 7.043</w:t>
      </w:r>
      <w:r>
        <w:rPr>
          <w:color w:val="000000"/>
        </w:rPr>
        <w:t xml:space="preserve"> clientes de uma companhia de telecomunicações fictícia, que </w:t>
      </w:r>
      <w:r>
        <w:rPr>
          <w:color w:val="000000"/>
        </w:rPr>
        <w:t xml:space="preserve">presta</w:t>
      </w:r>
      <w:r>
        <w:rPr>
          <w:color w:val="000000"/>
        </w:rPr>
        <w:t xml:space="preserve"> serviços de telefonia e internet, </w:t>
      </w:r>
      <w:r>
        <w:rPr>
          <w:color w:val="000000"/>
        </w:rPr>
        <w:t xml:space="preserve">no</w:t>
      </w:r>
      <w:r>
        <w:rPr>
          <w:color w:val="000000"/>
        </w:rPr>
        <w:t xml:space="preserve"> estado da Calif</w:t>
      </w:r>
      <w:r>
        <w:rPr>
          <w:color w:val="000000"/>
        </w:rPr>
        <w:t xml:space="preserve">ó</w:t>
      </w:r>
      <w:r>
        <w:rPr>
          <w:color w:val="000000"/>
        </w:rPr>
        <w:t xml:space="preserve">rnia.</w:t>
      </w:r>
      <w:r>
        <w:rPr>
          <w:color w:val="000000"/>
        </w:rPr>
        <w:t xml:space="preserve"> </w:t>
      </w:r>
      <w:r>
        <w:rPr>
          <w:color w:val="000000"/>
        </w:rPr>
        <w:t xml:space="preserve">Contabilizando </w:t>
      </w:r>
      <w:r>
        <w:rPr>
          <w:color w:val="000000"/>
        </w:rPr>
        <w:t xml:space="preserve">originalmente </w:t>
      </w:r>
      <w:r>
        <w:rPr>
          <w:color w:val="000000"/>
        </w:rPr>
        <w:t xml:space="preserve">53</w:t>
      </w:r>
      <w:r>
        <w:rPr>
          <w:color w:val="000000"/>
        </w:rPr>
        <w:t xml:space="preserve"> variáveis,</w:t>
      </w:r>
      <w:r>
        <w:rPr>
          <w:color w:val="000000"/>
        </w:rPr>
        <w:t xml:space="preserve"> </w:t>
      </w:r>
      <w:r>
        <w:rPr>
          <w:color w:val="000000"/>
        </w:rPr>
        <w:t xml:space="preserve">o conjunto de dados</w:t>
      </w:r>
      <w:r>
        <w:rPr>
          <w:color w:val="000000"/>
        </w:rPr>
        <w:t xml:space="preserve"> oficialmente disponibilizad</w:t>
      </w:r>
      <w:r>
        <w:rPr>
          <w:color w:val="000000"/>
        </w:rPr>
        <w:t xml:space="preserve">o</w:t>
      </w:r>
      <w:r>
        <w:rPr>
          <w:color w:val="000000"/>
        </w:rPr>
        <w:t xml:space="preserve"> na plataforma IBM Cognos </w:t>
      </w:r>
      <w:r>
        <w:rPr>
          <w:color w:val="000000"/>
        </w:rPr>
        <w:t xml:space="preserve">Analytics</w:t>
      </w:r>
      <w:r>
        <w:rPr>
          <w:color w:val="000000"/>
        </w:rPr>
        <w:t xml:space="preserve">, indica que n</w:t>
      </w:r>
      <w:r>
        <w:rPr>
          <w:color w:val="000000"/>
        </w:rPr>
        <w:t xml:space="preserve">o terceir</w:t>
      </w:r>
      <w:r>
        <w:rPr>
          <w:color w:val="000000"/>
        </w:rPr>
        <w:t xml:space="preserve">o</w:t>
      </w:r>
      <w:r>
        <w:rPr>
          <w:color w:val="000000"/>
        </w:rPr>
        <w:t xml:space="preserve"> trimestre de 2019, </w:t>
      </w:r>
      <w:r>
        <w:rPr>
          <w:color w:val="000000"/>
        </w:rPr>
        <w:t xml:space="preserve">o índice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</w:t>
      </w:r>
      <w:r>
        <w:rPr>
          <w:color w:val="000000"/>
        </w:rPr>
        <w:t xml:space="preserve">da companhia </w:t>
      </w:r>
      <w:r>
        <w:rPr>
          <w:color w:val="000000"/>
        </w:rPr>
        <w:t xml:space="preserve">foi </w:t>
      </w:r>
      <w:r>
        <w:rPr>
          <w:color w:val="000000"/>
        </w:rPr>
        <w:t xml:space="preserve">igual a</w:t>
      </w:r>
      <w:r>
        <w:rPr>
          <w:color w:val="000000"/>
        </w:rPr>
        <w:t xml:space="preserve"> </w:t>
      </w:r>
      <w:r>
        <w:rPr>
          <w:color w:val="000000"/>
        </w:rPr>
        <w:t xml:space="preserve">26</w:t>
      </w:r>
      <w:r>
        <w:rPr>
          <w:color w:val="000000"/>
        </w:rPr>
        <w:t xml:space="preserve">,</w:t>
      </w:r>
      <w:r>
        <w:rPr>
          <w:color w:val="000000"/>
        </w:rPr>
        <w:t xml:space="preserve">5</w:t>
      </w:r>
      <w:r>
        <w:rPr>
          <w:color w:val="000000"/>
        </w:rPr>
        <w:t xml:space="preserve">%</w:t>
      </w:r>
      <w:r>
        <w:rPr>
          <w:color w:val="000000"/>
        </w:rPr>
        <w:t xml:space="preserve">.</w:t>
      </w:r>
      <w:r>
        <w:rPr>
          <w:color w:val="000000"/>
        </w:rPr>
        <w:t xml:space="preserve"> </w:t>
      </w:r>
      <w:r>
        <w:rPr>
          <w:color w:val="000000"/>
        </w:rPr>
        <w:t xml:space="preserve">O restante da base de dados é </w:t>
      </w:r>
      <w:r>
        <w:rPr>
          <w:color w:val="000000"/>
        </w:rPr>
        <w:t xml:space="preserve">constituído</w:t>
      </w:r>
      <w:r>
        <w:rPr>
          <w:color w:val="000000"/>
        </w:rPr>
        <w:t xml:space="preserve"> por </w:t>
      </w:r>
      <w:r>
        <w:rPr>
          <w:color w:val="000000"/>
        </w:rPr>
        <w:t xml:space="preserve">novos </w:t>
      </w:r>
      <w:r>
        <w:rPr>
          <w:color w:val="000000"/>
        </w:rPr>
        <w:t xml:space="preserve">clientes</w:t>
      </w:r>
      <w:r>
        <w:rPr>
          <w:color w:val="000000"/>
        </w:rPr>
        <w:t xml:space="preserve">,</w:t>
      </w:r>
      <w:r>
        <w:rPr>
          <w:color w:val="000000"/>
        </w:rPr>
        <w:t xml:space="preserve"> que </w:t>
      </w:r>
      <w:r>
        <w:rPr>
          <w:color w:val="000000"/>
        </w:rPr>
        <w:t xml:space="preserve">contrataram o</w:t>
      </w:r>
      <w:r>
        <w:rPr>
          <w:color w:val="000000"/>
        </w:rPr>
        <w:t xml:space="preserve">s</w:t>
      </w:r>
      <w:r>
        <w:rPr>
          <w:color w:val="000000"/>
        </w:rPr>
        <w:t xml:space="preserve"> serviço</w:t>
      </w:r>
      <w:r>
        <w:rPr>
          <w:color w:val="000000"/>
        </w:rPr>
        <w:t xml:space="preserve">s</w:t>
      </w:r>
      <w:r>
        <w:rPr>
          <w:color w:val="000000"/>
        </w:rPr>
        <w:t xml:space="preserve"> recentemente</w:t>
      </w:r>
      <w:r>
        <w:rPr>
          <w:color w:val="000000"/>
        </w:rPr>
        <w:t xml:space="preserve">, e por consumidores que </w:t>
      </w:r>
      <w:r>
        <w:rPr>
          <w:color w:val="000000"/>
        </w:rPr>
        <w:t xml:space="preserve">já</w:t>
      </w:r>
      <w:r>
        <w:rPr>
          <w:color w:val="000000"/>
        </w:rPr>
        <w:t xml:space="preserve"> assinavam </w:t>
      </w:r>
      <w:r>
        <w:rPr>
          <w:color w:val="000000"/>
        </w:rPr>
        <w:t xml:space="preserve">algum</w:t>
      </w:r>
      <w:r>
        <w:rPr>
          <w:color w:val="000000"/>
        </w:rPr>
        <w:t xml:space="preserve"> serviço, e</w:t>
      </w:r>
      <w:r>
        <w:rPr>
          <w:color w:val="000000"/>
        </w:rPr>
        <w:t xml:space="preserve"> mantiveram o contrato ativo.</w:t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A</w:t>
      </w:r>
      <w:r>
        <w:rPr>
          <w:color w:val="000000"/>
        </w:rPr>
        <w:t xml:space="preserve">s variáveis originais foram renomeadas, </w:t>
      </w:r>
      <w:r>
        <w:rPr>
          <w:color w:val="000000"/>
        </w:rPr>
        <w:t xml:space="preserve">com o objetivo de facilitar a manipulação dos dados, </w:t>
      </w:r>
      <w:r>
        <w:rPr>
          <w:color w:val="000000"/>
        </w:rPr>
        <w:t xml:space="preserve">de modo que os espaços em branco foram substituídos pelo caractere “_”</w:t>
      </w:r>
      <w:r>
        <w:rPr>
          <w:color w:val="000000"/>
        </w:rPr>
        <w:t xml:space="preserve">;</w:t>
      </w:r>
      <w:r>
        <w:rPr>
          <w:color w:val="000000"/>
        </w:rPr>
        <w:t xml:space="preserve"> </w:t>
      </w:r>
      <w:r>
        <w:rPr>
          <w:color w:val="000000"/>
        </w:rPr>
        <w:t xml:space="preserve">as letras maiúsculas </w:t>
      </w:r>
      <w:r>
        <w:rPr>
          <w:color w:val="000000"/>
        </w:rPr>
        <w:t xml:space="preserve">deram lugar</w:t>
      </w:r>
      <w:r>
        <w:rPr>
          <w:color w:val="000000"/>
        </w:rPr>
        <w:t xml:space="preserve"> </w:t>
      </w:r>
      <w:r>
        <w:rPr>
          <w:color w:val="000000"/>
        </w:rPr>
        <w:t xml:space="preserve">a </w:t>
      </w:r>
      <w:r>
        <w:rPr>
          <w:color w:val="000000"/>
        </w:rPr>
        <w:t xml:space="preserve">letras </w:t>
      </w:r>
      <w:r>
        <w:rPr>
          <w:color w:val="000000"/>
        </w:rPr>
        <w:t xml:space="preserve">minúsculas; </w:t>
      </w:r>
      <w:r>
        <w:rPr>
          <w:color w:val="000000"/>
        </w:rPr>
        <w:t xml:space="preserve">e as variáveis </w:t>
      </w:r>
      <w:r>
        <w:rPr>
          <w:color w:val="000000"/>
        </w:rPr>
        <w:t xml:space="preserve">qualitativas </w:t>
      </w:r>
      <w:r>
        <w:rPr>
          <w:color w:val="000000"/>
        </w:rPr>
        <w:t xml:space="preserve">binárias tiveram o prefixo “</w:t>
      </w:r>
      <w:r>
        <w:rPr>
          <w:color w:val="000000"/>
        </w:rPr>
        <w:t xml:space="preserve">flg</w:t>
      </w:r>
      <w:r>
        <w:rPr>
          <w:color w:val="000000"/>
        </w:rPr>
        <w:t xml:space="preserve">_” acrescido </w:t>
      </w:r>
      <w:r>
        <w:rPr>
          <w:color w:val="000000"/>
        </w:rPr>
        <w:t xml:space="preserve">a</w:t>
      </w:r>
      <w:r>
        <w:rPr>
          <w:color w:val="000000"/>
        </w:rPr>
        <w:t xml:space="preserve">os seus nomes.</w:t>
      </w:r>
      <w:r>
        <w:rPr>
          <w:color w:val="000000"/>
        </w:rPr>
        <w:t xml:space="preserve"> </w:t>
      </w:r>
      <w:r>
        <w:rPr>
          <w:color w:val="000000"/>
        </w:rPr>
        <w:t xml:space="preserve">Seguindo estes critérios</w:t>
      </w:r>
      <w:r>
        <w:rPr>
          <w:color w:val="000000"/>
        </w:rPr>
        <w:t xml:space="preserve">, a</w:t>
      </w:r>
      <w:r>
        <w:rPr>
          <w:color w:val="000000"/>
        </w:rPr>
        <w:t xml:space="preserve">s</w:t>
      </w:r>
      <w:r>
        <w:rPr>
          <w:color w:val="000000"/>
        </w:rPr>
        <w:t xml:space="preserve"> variáve</w:t>
      </w:r>
      <w:r>
        <w:rPr>
          <w:color w:val="000000"/>
        </w:rPr>
        <w:t xml:space="preserve">is </w:t>
      </w:r>
      <w:r>
        <w:rPr>
          <w:color w:val="000000"/>
        </w:rPr>
        <w:t xml:space="preserve">inicialmente identificadas por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Number</w:t>
      </w:r>
      <w:r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 xml:space="preserve">of</w:t>
      </w:r>
      <w:r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 xml:space="preserve">Referrals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Unlimited</w:t>
      </w:r>
      <w:r>
        <w:rPr>
          <w:i/>
          <w:iCs/>
          <w:color w:val="000000"/>
        </w:rPr>
        <w:t xml:space="preserve"> Data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foram renomeadas p</w:t>
      </w:r>
      <w:r>
        <w:rPr>
          <w:color w:val="000000"/>
        </w:rPr>
        <w:t xml:space="preserve">ara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number_of_referrals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flg_unlimited_data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respectivamente</w:t>
      </w:r>
      <w:r>
        <w:rPr>
          <w:color w:val="000000"/>
        </w:rPr>
        <w:t xml:space="preserve">.</w:t>
      </w:r>
      <w:r>
        <w:rPr>
          <w:color w:val="000000"/>
        </w:rPr>
        <w:t xml:space="preserve"> Deliberou-se também por adaptar o conteúdo das variáveis binárias, originalmente constituídas pelos valores “Yes”, em casos de ocorrência do evento, e “No” em casos de não ocorrência do evento, para “1” e “0”, respectivamente.</w:t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A fim da enriquecer os dados</w:t>
      </w:r>
      <w:r>
        <w:rPr>
          <w:color w:val="000000"/>
        </w:rPr>
        <w:t xml:space="preserve">,</w:t>
      </w:r>
      <w:r>
        <w:rPr>
          <w:color w:val="000000"/>
        </w:rPr>
        <w:t xml:space="preserve"> foram coletadas e anexadas ao </w:t>
      </w:r>
      <w:r>
        <w:rPr>
          <w:i/>
          <w:iCs/>
          <w:color w:val="000000"/>
        </w:rPr>
        <w:t xml:space="preserve">dataset</w:t>
      </w:r>
      <w:r>
        <w:rPr>
          <w:color w:val="000000"/>
        </w:rPr>
        <w:t xml:space="preserve"> </w:t>
      </w:r>
      <w:r>
        <w:rPr>
          <w:color w:val="000000"/>
        </w:rPr>
        <w:t xml:space="preserve">variáveis censitárias</w:t>
      </w:r>
      <w:r>
        <w:rPr>
          <w:color w:val="000000"/>
        </w:rPr>
        <w:t xml:space="preserve"> </w:t>
      </w:r>
      <w:r>
        <w:rPr>
          <w:color w:val="000000"/>
        </w:rPr>
        <w:t xml:space="preserve">da população norte-americana, </w:t>
      </w:r>
      <w:r>
        <w:rPr>
          <w:color w:val="000000"/>
        </w:rPr>
        <w:t xml:space="preserve">disponibilizadas pela</w:t>
      </w:r>
      <w:r>
        <w:rPr>
          <w:color w:val="000000"/>
        </w:rPr>
        <w:t xml:space="preserve"> </w:t>
      </w:r>
      <w:r>
        <w:rPr>
          <w:color w:val="000000"/>
        </w:rPr>
        <w:t xml:space="preserve">pesquisa anual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American Community </w:t>
      </w:r>
      <w:r>
        <w:rPr>
          <w:i/>
          <w:iCs/>
          <w:color w:val="000000"/>
        </w:rPr>
        <w:t xml:space="preserve">Survey</w:t>
      </w:r>
      <w:r>
        <w:rPr>
          <w:color w:val="000000"/>
        </w:rPr>
        <w:t xml:space="preserve">, </w:t>
      </w:r>
      <w:r>
        <w:rPr>
          <w:color w:val="000000"/>
        </w:rPr>
        <w:t xml:space="preserve">a qual de acordo com o </w:t>
      </w:r>
      <w:r>
        <w:rPr>
          <w:color w:val="000000"/>
        </w:rPr>
        <w:t xml:space="preserve">United States </w:t>
      </w:r>
      <w:r>
        <w:rPr>
          <w:color w:val="000000"/>
        </w:rPr>
        <w:t xml:space="preserve">Census</w:t>
      </w:r>
      <w:r>
        <w:rPr>
          <w:color w:val="000000"/>
        </w:rPr>
        <w:t xml:space="preserve"> Bureau</w:t>
      </w:r>
      <w:r>
        <w:rPr>
          <w:color w:val="000000"/>
        </w:rPr>
        <w:t xml:space="preserve"> [USCB]</w:t>
      </w:r>
      <w:r>
        <w:rPr>
          <w:color w:val="000000"/>
        </w:rPr>
        <w:t xml:space="preserve"> </w:t>
      </w:r>
      <w:r>
        <w:rPr>
          <w:color w:val="000000"/>
        </w:rPr>
        <w:t xml:space="preserve">(</w:t>
      </w:r>
      <w:r>
        <w:rPr>
          <w:color w:val="000000"/>
        </w:rPr>
        <w:t xml:space="preserve">2022)</w:t>
      </w:r>
      <w:r>
        <w:rPr>
          <w:color w:val="000000"/>
        </w:rPr>
        <w:t xml:space="preserve"> </w:t>
      </w:r>
      <w:r>
        <w:rPr>
          <w:color w:val="000000"/>
        </w:rPr>
        <w:t xml:space="preserve">incorpora</w:t>
      </w:r>
      <w:r>
        <w:rPr>
          <w:color w:val="000000"/>
        </w:rPr>
        <w:t xml:space="preserve"> </w:t>
      </w:r>
      <w:r>
        <w:rPr>
          <w:color w:val="000000"/>
        </w:rPr>
        <w:t xml:space="preserve">características sociais, econômicas, demográficas e habitacionais</w:t>
      </w:r>
      <w:r>
        <w:rPr>
          <w:color w:val="000000"/>
        </w:rPr>
        <w:t xml:space="preserve"> da nação</w:t>
      </w:r>
      <w:r>
        <w:rPr>
          <w:color w:val="000000"/>
        </w:rPr>
        <w:t xml:space="preserve">. Neste trabalho, optou-se por consultar as estimativas de cinco anos</w:t>
      </w:r>
      <w:r>
        <w:rPr>
          <w:color w:val="000000"/>
        </w:rPr>
        <w:t xml:space="preserve">, </w:t>
      </w:r>
      <w:r>
        <w:rPr>
          <w:color w:val="000000"/>
        </w:rPr>
        <w:t xml:space="preserve">que compreende</w:t>
      </w:r>
      <w:r>
        <w:rPr>
          <w:color w:val="000000"/>
        </w:rPr>
        <w:t xml:space="preserve">m</w:t>
      </w:r>
      <w:r>
        <w:rPr>
          <w:color w:val="000000"/>
        </w:rPr>
        <w:t xml:space="preserve"> o período</w:t>
      </w:r>
      <w:r>
        <w:rPr>
          <w:color w:val="000000"/>
        </w:rPr>
        <w:t xml:space="preserve"> </w:t>
      </w:r>
      <w:r>
        <w:rPr>
          <w:color w:val="000000"/>
        </w:rPr>
        <w:t xml:space="preserve">de </w:t>
      </w:r>
      <w:r>
        <w:rPr>
          <w:color w:val="000000"/>
        </w:rPr>
        <w:t xml:space="preserve">2013 a 2017</w:t>
      </w:r>
      <w:r>
        <w:rPr>
          <w:color w:val="000000"/>
        </w:rPr>
        <w:t xml:space="preserve">, devido maior confiabilidade estatística para áreas geográficas menos populosas.</w:t>
      </w:r>
      <w:r>
        <w:rPr>
          <w:color w:val="000000"/>
        </w:rPr>
        <w:t xml:space="preserve"> </w:t>
      </w:r>
      <w:r>
        <w:rPr>
          <w:color w:val="000000"/>
        </w:rPr>
        <w:t xml:space="preserve">Neste trabalho, </w:t>
      </w:r>
      <w:r>
        <w:rPr>
          <w:color w:val="000000"/>
        </w:rPr>
        <w:t xml:space="preserve">aplicou-se a</w:t>
      </w:r>
      <w:r>
        <w:rPr>
          <w:color w:val="000000"/>
        </w:rPr>
        <w:t xml:space="preserve"> metodologia</w:t>
      </w:r>
      <w:r>
        <w:rPr>
          <w:color w:val="000000"/>
        </w:rPr>
        <w:t xml:space="preserve"> </w:t>
      </w:r>
      <w:r>
        <w:rPr>
          <w:color w:val="000000"/>
        </w:rPr>
        <w:t xml:space="preserve">quantitativa </w:t>
      </w:r>
      <w:r>
        <w:rPr>
          <w:color w:val="000000"/>
        </w:rPr>
        <w:t xml:space="preserve">aplicada</w:t>
      </w:r>
      <w:r>
        <w:rPr>
          <w:color w:val="000000"/>
        </w:rPr>
        <w:t xml:space="preserve"> </w:t>
      </w:r>
      <w:r>
        <w:rPr>
          <w:color w:val="000000"/>
        </w:rPr>
        <w:t xml:space="preserve">descritiva</w:t>
      </w:r>
      <w:r>
        <w:rPr>
          <w:color w:val="000000"/>
        </w:rP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3" w:name="_Ref104244115"/>
      <w:r/>
      <w:bookmarkStart w:id="14" w:name="_Hlk104244083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3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do </w:t>
      </w:r>
      <w:r>
        <w:rPr>
          <w:color w:val="auto"/>
          <w:sz w:val="22"/>
          <w:szCs w:val="22"/>
        </w:rPr>
        <w:t xml:space="preserve">dataset</w:t>
      </w:r>
      <w:r>
        <w:rPr>
          <w:i w:val="0"/>
          <w:iCs w:val="0"/>
          <w:color w:val="auto"/>
          <w:sz w:val="22"/>
          <w:szCs w:val="22"/>
        </w:rPr>
        <w:t xml:space="preserve"> original, selecionadas para utilização</w:t>
      </w:r>
      <w:bookmarkEnd w:id="14"/>
      <w:r>
        <w:rPr>
          <w:i w:val="0"/>
          <w:iCs w:val="0"/>
          <w:color w:val="auto"/>
          <w:sz w:val="22"/>
          <w:szCs w:val="22"/>
        </w:rPr>
        <w:t xml:space="preserve"> (con</w:t>
      </w:r>
      <w:r>
        <w:rPr>
          <w:i w:val="0"/>
          <w:iCs w:val="0"/>
          <w:color w:val="auto"/>
          <w:sz w:val="22"/>
          <w:szCs w:val="22"/>
        </w:rPr>
        <w:t xml:space="preserve">tinua)</w:t>
      </w:r>
      <w:r/>
    </w:p>
    <w:tbl>
      <w:tblPr>
        <w:tblStyle w:val="1131"/>
        <w:tblW w:w="9219" w:type="dxa"/>
        <w:tblLook w:val="06A0" w:firstRow="1" w:lastRow="0" w:firstColumn="1" w:lastColumn="0" w:noHBand="1" w:noVBand="1"/>
      </w:tblPr>
      <w:tblGrid>
        <w:gridCol w:w="3849"/>
        <w:gridCol w:w="5370"/>
      </w:tblGrid>
      <w:tr>
        <w:trPr>
          <w:trHeight w:val="187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customer_id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Identificador único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g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ender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Sexo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a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ge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flg_married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é casado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number_of_dependents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</w:t>
            </w:r>
            <w:r>
              <w:rPr>
                <w:rFonts w:eastAsia="Times New Roman"/>
                <w:lang w:eastAsia="pt-BR"/>
              </w:rPr>
              <w:t xml:space="preserve"> de dependentes que moram com 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ity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Cidade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Cep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l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atitude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Latitude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longitude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Longitude da residência principal do cliente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number_of_referrals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</w:t>
            </w:r>
            <w:r>
              <w:rPr>
                <w:rFonts w:eastAsia="Times New Roman"/>
                <w:lang w:eastAsia="pt-BR"/>
              </w:rPr>
              <w:t xml:space="preserve">tidade de indicações, feitas pel</w:t>
            </w:r>
            <w:r>
              <w:rPr>
                <w:rFonts w:eastAsia="Times New Roman"/>
                <w:lang w:eastAsia="pt-BR"/>
              </w:rPr>
              <w:t xml:space="preserve">o cliente até o presente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tenure_in_months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Tempo de casa do cliente,</w:t>
            </w:r>
            <w:r>
              <w:rPr>
                <w:rFonts w:eastAsia="Times New Roman"/>
                <w:lang w:eastAsia="pt-BR"/>
              </w:rPr>
              <w:t xml:space="preserve"> ao final do trimestre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offer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Última oferta de marketing aceita pelo cliente, se aplicável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flg_phone_service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o serviço de telefonia residencial da companhia</w:t>
            </w:r>
            <w:r/>
          </w:p>
        </w:tc>
      </w:tr>
      <w:tr>
        <w:trPr>
          <w:trHeight w:val="41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val="en-US" w:eastAsia="pt-BR"/>
              </w:rPr>
            </w:pPr>
            <w:r>
              <w:rPr>
                <w:rFonts w:eastAsia="Times New Roman"/>
                <w:b w:val="0"/>
                <w:bCs w:val="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Valor mensal médio das cobranças de chamadas de longas distâncias, calculado até o final do trimestre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flg_multiple_lines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múltiplas linhas telefônicas da companhia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internet_type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Tipo do serviço de internet assinado pelo cliente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avg_monthly_gb_download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Volume mensal médio de download, em gigabytes, calculado até o final do trimestre</w:t>
            </w:r>
            <w:r/>
          </w:p>
        </w:tc>
      </w:tr>
      <w:tr>
        <w:trPr>
          <w:trHeight w:val="416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flg_online_security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um serviço adicional de segurança online, fornecido pela companhia</w:t>
            </w:r>
            <w:r/>
          </w:p>
        </w:tc>
      </w:tr>
      <w:tr>
        <w:trPr>
          <w:trHeight w:val="276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flg_online_backup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um serviço adicional de backup online, fornecido pela companhia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REF _Ref104244115 \h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</w:t>
      </w:r>
      <w:r>
        <w:rPr>
          <w:i w:val="0"/>
          <w:iCs w:val="0"/>
          <w:color w:val="auto"/>
          <w:sz w:val="22"/>
          <w:szCs w:val="22"/>
        </w:rPr>
        <w:t xml:space="preserve">Variáveis do </w:t>
      </w:r>
      <w:r>
        <w:rPr>
          <w:color w:val="auto"/>
          <w:sz w:val="22"/>
          <w:szCs w:val="22"/>
        </w:rPr>
        <w:t xml:space="preserve">dataset</w:t>
      </w:r>
      <w:r>
        <w:rPr>
          <w:i w:val="0"/>
          <w:iCs w:val="0"/>
          <w:color w:val="auto"/>
          <w:sz w:val="22"/>
          <w:szCs w:val="22"/>
        </w:rPr>
        <w:t xml:space="preserve"> original, selecionadas para utilização</w:t>
      </w:r>
      <w:r>
        <w:rPr>
          <w:i w:val="0"/>
          <w:iCs w:val="0"/>
          <w:color w:val="auto"/>
          <w:sz w:val="22"/>
          <w:szCs w:val="22"/>
        </w:rPr>
        <w:t xml:space="preserve"> (conclusão)</w:t>
      </w:r>
      <w:r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5101"/>
      </w:tblGrid>
      <w:tr>
        <w:trPr>
          <w:trHeight w:val="158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188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812" w:type="pct"/>
            <w:vAlign w:val="bottom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Descrição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flg_device_protection_plan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assina a um plano adicional de proteção do dispositivo, para seu equipamento de internet, fornecido pela companhia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assina um plano adicional de suporte técnico da companhia, com tempos reduzidos de espera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assistir programas de televisão de um fornecedor externo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flg_streaming_movies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assistir filmes de um fornecedor externo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flg_streaming_music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escutar música de um fornecedor externo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flg_unlimited_data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pagou uma taxa mensal adicional, para ter downloads/uploads ilimitados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Tipo de contrato atual do cliente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flg_paperless_billing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optou por cobrança sem papel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payment_method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Método de pagamento, utilizado pelo cliente, para pagar a fatura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total da mensalidade atual do cliente, cobrada por todos os serviços utilizados</w:t>
            </w:r>
            <w:r/>
          </w:p>
        </w:tc>
      </w:tr>
      <w:tr>
        <w:trPr>
          <w:trHeight w:val="77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exceto valores adicionais, cobrados por utilização superior ao especificado no plano do cliente, calculadas até o final do trimestre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total_refunds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Reembolsos totais do cliente, calculados até o final do trimestre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total_extra_data_charges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por downloads de dados extras, acima do especificado em seu plano, ao final do trimestre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por chamadas de longa distância, acima das especificadas em seu plano, ao final do trimestre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Índice da satisfação geral do cliente com a companhia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customer_status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Status do cliente ao final do trimestre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flg_churn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a firma perdeu o cliente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</w:t>
            </w:r>
            <w:r>
              <w:rPr>
                <w:rFonts w:eastAsia="Times New Roman"/>
                <w:color w:val="000000"/>
                <w:lang w:eastAsia="pt-BR"/>
              </w:rPr>
              <w:t xml:space="preserve">ltv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do tempo de vida do cliente (</w:t>
            </w:r>
            <w:r>
              <w:rPr>
                <w:rFonts w:eastAsia="Times New Roman"/>
                <w:color w:val="000000"/>
                <w:lang w:eastAsia="pt-BR"/>
              </w:rPr>
              <w:t xml:space="preserve">Customer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Lifetime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Value</w:t>
            </w:r>
            <w:r>
              <w:rPr>
                <w:rFonts w:eastAsia="Times New Roman"/>
                <w:color w:val="000000"/>
                <w:lang w:eastAsia="pt-BR"/>
              </w:rPr>
              <w:t xml:space="preserve">). Quanto maior o valor, mais valioso o cliente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churn_category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Categoria de alto-nível, para o motivo da perda do cliente. Todos os clientes, ao deixarem a companhia, são questionados sobre o motivo da saída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churn_reason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Motivo específico da perda do cliente</w:t>
            </w:r>
            <w:r/>
          </w:p>
        </w:tc>
      </w:tr>
    </w:tbl>
    <w:p>
      <w:pPr>
        <w:spacing w:line="240" w:lineRule="auto"/>
        <w:rPr>
          <w:lang w:val="en-US"/>
        </w:rPr>
      </w:pPr>
      <w:r>
        <w:rPr>
          <w:color w:val="000000"/>
          <w:lang w:val="en-US"/>
        </w:rPr>
        <w:t xml:space="preserve">Fonte: </w:t>
      </w:r>
      <w:r>
        <w:rPr>
          <w:lang w:val="en-US"/>
        </w:rPr>
        <w:t xml:space="preserve">International Business Machines Corporation [IBM] </w:t>
      </w:r>
      <w:r>
        <w:rPr>
          <w:lang w:val="en-US"/>
        </w:rPr>
        <w:t xml:space="preserve">(</w:t>
      </w:r>
      <w:r>
        <w:rPr>
          <w:lang w:val="en-US"/>
        </w:rPr>
        <w:t xml:space="preserve">2019</w:t>
      </w:r>
      <w:r>
        <w:rPr>
          <w:lang w:val="en-US"/>
        </w:rPr>
        <w:t xml:space="preserve">)</w:t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5" w:name="_Ref104244431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2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5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construídas através do processo de </w:t>
      </w:r>
      <w:r>
        <w:rPr>
          <w:color w:val="auto"/>
          <w:sz w:val="22"/>
          <w:szCs w:val="22"/>
        </w:rPr>
        <w:t xml:space="preserve">feature</w:t>
      </w:r>
      <w:r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engineering</w:t>
      </w:r>
      <w:r/>
    </w:p>
    <w:tbl>
      <w:tblPr>
        <w:tblStyle w:val="1131"/>
        <w:tblW w:w="0" w:type="auto"/>
        <w:tblLook w:val="06A0" w:firstRow="1" w:lastRow="0" w:firstColumn="1" w:lastColumn="0" w:noHBand="1" w:noVBand="1"/>
      </w:tblPr>
      <w:tblGrid>
        <w:gridCol w:w="4668"/>
        <w:gridCol w:w="4402"/>
      </w:tblGrid>
      <w:tr>
        <w:trPr>
          <w:trHeight w:val="187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421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valor_cobranca_geral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Cobranças gerais do cliente, incluindo valores adicionais por utilização superior ao especificado em seu plano, ao final do trimestre</w:t>
            </w:r>
            <w:r/>
          </w:p>
        </w:tc>
      </w:tr>
      <w:tr>
        <w:trPr>
          <w:trHeight w:val="210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tx_valores_reembolsados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de valores reembolsados, em relação às cobranças gerais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tx_concentracao_cobranca_mes_q3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Quanto dos valores cobrados até o final do </w:t>
            </w:r>
            <w:r>
              <w:rPr>
                <w:rFonts w:eastAsia="Times New Roman"/>
                <w:lang w:eastAsia="pt-BR"/>
              </w:rPr>
              <w:t xml:space="preserve">trimestre</w:t>
            </w:r>
            <w:r>
              <w:rPr>
                <w:rFonts w:eastAsia="Times New Roman"/>
                <w:lang w:eastAsia="pt-BR"/>
              </w:rPr>
              <w:t xml:space="preserve">, estão concentrados na mensalidade atual do cliente</w:t>
            </w:r>
            <w:r/>
          </w:p>
        </w:tc>
      </w:tr>
      <w:tr>
        <w:trPr>
          <w:trHeight w:val="421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valor_cobrancas_extras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Valores totais, cobrados por chamadas de longa distância e downloads de dados extras, acima do especificado no plano do cliente, ao final do trimestre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Representatividade dos valores cobrados de forma adicional, em relação aos valores gerais, cobrados do cliente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qtd_servicos_principais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serviços principais assinados pelo cliente. Os serviços principais são telefonia e internet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qtd_servicos_adicionais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serviços adicionais assinados pelo cliente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single" w:color="auto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qtd_streamings</w:t>
            </w:r>
            <w:r/>
          </w:p>
        </w:tc>
        <w:tc>
          <w:tcPr>
            <w:tcBorders>
              <w:top w:val="none" w:color="000000" w:sz="4" w:space="0"/>
              <w:bottom w:val="single" w:color="auto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streamings utilizados pelo cliente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3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censitárias, referentes ao condado da residência principal do cliente</w:t>
      </w:r>
      <w:r/>
    </w:p>
    <w:tbl>
      <w:tblPr>
        <w:tblStyle w:val="1131"/>
        <w:tblW w:w="0" w:type="auto"/>
        <w:tblLook w:val="06A0" w:firstRow="1" w:lastRow="0" w:firstColumn="1" w:lastColumn="0" w:noHBand="1" w:noVBand="1"/>
      </w:tblPr>
      <w:tblGrid>
        <w:gridCol w:w="4339"/>
        <w:gridCol w:w="4731"/>
      </w:tblGrid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ounty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Condado da residência principal do cliente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condado_idade_mediana_habitantes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mediana dos habitantes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condado_indice_gini_desigualdade_renda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Índice de </w:t>
            </w:r>
            <w:r>
              <w:rPr>
                <w:rFonts w:eastAsia="Times New Roman"/>
                <w:lang w:eastAsia="pt-BR"/>
              </w:rPr>
              <w:t xml:space="preserve">gini</w:t>
            </w:r>
            <w:r>
              <w:rPr>
                <w:rFonts w:eastAsia="Times New Roman"/>
                <w:lang w:eastAsia="pt-BR"/>
              </w:rPr>
              <w:t xml:space="preserve">, de desigualdade de renda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condado_qtd_habitantes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habitantes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condado_renda_familiar_mediana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Renda familiar mediana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condado_tx_habitantes_homens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homens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condado_tx_habitantes_menor_18_anos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indivíduos menores de 18 anos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condado_area_terra_m2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Área territorial do condado, em metros quadrados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condado_densidade_populacional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Densidade populacional (número de habitantes / área)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30"/>
        <w:jc w:val="right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4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censitárias, referentes ao </w:t>
      </w:r>
      <w:r>
        <w:rPr>
          <w:i w:val="0"/>
          <w:iCs w:val="0"/>
          <w:color w:val="auto"/>
          <w:sz w:val="22"/>
          <w:szCs w:val="22"/>
        </w:rPr>
        <w:t xml:space="preserve">código postal</w:t>
      </w:r>
      <w:r>
        <w:rPr>
          <w:i w:val="0"/>
          <w:iCs w:val="0"/>
          <w:color w:val="auto"/>
          <w:sz w:val="22"/>
          <w:szCs w:val="22"/>
        </w:rPr>
        <w:t xml:space="preserve"> da residência principal do cliente</w:t>
      </w:r>
      <w:r>
        <w:rPr>
          <w:i w:val="0"/>
          <w:iCs w:val="0"/>
          <w:color w:val="auto"/>
          <w:sz w:val="22"/>
          <w:szCs w:val="22"/>
        </w:rPr>
        <w:t xml:space="preserve"> (continua)</w:t>
      </w:r>
      <w:r/>
    </w:p>
    <w:tbl>
      <w:tblPr>
        <w:tblStyle w:val="1131"/>
        <w:tblW w:w="0" w:type="auto"/>
        <w:tblLook w:val="06A0" w:firstRow="1" w:lastRow="0" w:firstColumn="1" w:lastColumn="0" w:noHBand="1" w:noVBand="1"/>
      </w:tblPr>
      <w:tblGrid>
        <w:gridCol w:w="4375"/>
        <w:gridCol w:w="4695"/>
      </w:tblGrid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zip_code_idade_mediana_habitantes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mediana dos habitantes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zip_code_indice_gini_desigualdade_renda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Índice de </w:t>
            </w:r>
            <w:r>
              <w:rPr>
                <w:rFonts w:eastAsia="Times New Roman"/>
                <w:lang w:eastAsia="pt-BR"/>
              </w:rPr>
              <w:t xml:space="preserve">gini</w:t>
            </w:r>
            <w:r>
              <w:rPr>
                <w:rFonts w:eastAsia="Times New Roman"/>
                <w:lang w:eastAsia="pt-BR"/>
              </w:rPr>
              <w:t xml:space="preserve">, de desigualdade de renda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zip_code_qtd_habitantes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habitantes</w:t>
            </w:r>
            <w:r/>
          </w:p>
        </w:tc>
      </w:tr>
      <w:tr>
        <w:trPr>
          <w:trHeight w:val="182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zip_code_renda_familiar_mediana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Renda familiar mediana</w:t>
            </w:r>
            <w:r/>
          </w:p>
        </w:tc>
      </w:tr>
      <w:tr>
        <w:trPr>
          <w:trHeight w:val="364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zip_code_tx_habitantes_homens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homens</w:t>
            </w:r>
            <w:r/>
          </w:p>
        </w:tc>
      </w:tr>
    </w:tbl>
    <w:p>
      <w:r>
        <w:t xml:space="preserve">Tabela </w:t>
      </w:r>
      <w:fldSimple w:instr="SEQ Tabela \* ARABIC">
        <w:r>
          <w:t xml:space="preserve">5</w:t>
        </w:r>
      </w:fldSimple>
      <w:r>
        <w:t xml:space="preserve">. Variáveis censitárias, referentes ao código postal da residência principal do cliente</w:t>
      </w:r>
      <w:r/>
    </w:p>
    <w:p>
      <w:pPr>
        <w:jc w:val="right"/>
      </w:pPr>
      <w:r>
        <w:t xml:space="preserve">(conclusão)</w:t>
      </w:r>
      <w:r/>
    </w:p>
    <w:tbl>
      <w:tblPr>
        <w:tblStyle w:val="1131"/>
        <w:tblW w:w="5000" w:type="pct"/>
        <w:tblLook w:val="06A0" w:firstRow="1" w:lastRow="0" w:firstColumn="1" w:lastColumn="0" w:noHBand="1" w:noVBand="1"/>
      </w:tblPr>
      <w:tblGrid>
        <w:gridCol w:w="4343"/>
        <w:gridCol w:w="4727"/>
      </w:tblGrid>
      <w:tr>
        <w:trPr>
          <w:trHeight w:val="229"/>
        </w:trPr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229"/>
        </w:trPr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zip_code_tx_habitantes_menor_18_anos</w:t>
            </w:r>
            <w:r/>
          </w:p>
        </w:tc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indivíduos menores de 18 anos</w:t>
            </w:r>
            <w:r/>
          </w:p>
        </w:tc>
      </w:tr>
      <w:tr>
        <w:trPr>
          <w:trHeight w:val="114"/>
        </w:trPr>
        <w:tc>
          <w:tcPr>
            <w:tcBorders>
              <w:top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zip_code_area_terra_m2</w:t>
            </w:r>
            <w:r/>
          </w:p>
        </w:tc>
        <w:tc>
          <w:tcPr>
            <w:tcBorders>
              <w:top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Área territorial do cep, em metros quadrados</w:t>
            </w:r>
            <w:r/>
          </w:p>
        </w:tc>
      </w:tr>
      <w:tr>
        <w:trPr>
          <w:trHeight w:val="229"/>
        </w:trPr>
        <w:tc>
          <w:tcPr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zip_code_densidade_populacional</w:t>
            </w:r>
            <w:r/>
          </w:p>
        </w:tc>
        <w:tc>
          <w:tcPr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Densidade populacional (número de habitantes / área)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O</w:t>
      </w:r>
      <w:r>
        <w:rPr>
          <w:highlight w:val="none"/>
        </w:rPr>
        <w:t xml:space="preserve"> conjunto de dados foi </w:t>
      </w:r>
      <w:r>
        <w:rPr>
          <w:highlight w:val="none"/>
        </w:rPr>
        <w:t xml:space="preserve">dividido em </w:t>
      </w:r>
      <w:r>
        <w:rPr>
          <w:highlight w:val="none"/>
        </w:rPr>
        <w:t xml:space="preserve">partições </w:t>
      </w:r>
      <w:r>
        <w:rPr>
          <w:highlight w:val="none"/>
        </w:rPr>
        <w:t xml:space="preserve">de treinamento e teste,</w:t>
      </w:r>
      <w:r>
        <w:rPr>
          <w:highlight w:val="none"/>
        </w:rPr>
        <w:t xml:space="preserve"> contendo a primeira 70% dos dados, e a segunda os 30% restantes. Ao todo foram </w:t>
      </w:r>
      <w:r>
        <w:rPr>
          <w:highlight w:val="none"/>
        </w:rPr>
        <w:t xml:space="preserve">estimados quatro modelos, sendo </w:t>
      </w:r>
      <w:r>
        <w:rPr>
          <w:highlight w:val="none"/>
        </w:rPr>
        <w:t xml:space="preserve">um modelo de regressão logística binária clássica, </w:t>
      </w:r>
      <w:r>
        <w:rPr>
          <w:highlight w:val="none"/>
        </w:rPr>
        <w:t xml:space="preserve">uma</w:t>
      </w:r>
      <w:r>
        <w:rPr>
          <w:highlight w:val="none"/>
        </w:rPr>
        <w:t xml:space="preserve"> árvore de decisão, e duas </w:t>
      </w:r>
      <w:r>
        <w:rPr>
          <w:i/>
          <w:highlight w:val="none"/>
        </w:rPr>
        <w:t xml:space="preserve">random forests</w:t>
      </w:r>
      <w:r>
        <w:rPr>
          <w:highlight w:val="none"/>
        </w:rPr>
        <w:t xml:space="preserve">, os quais, com base no comportamento conjunto das variáveis preditoras, calcular</w:t>
      </w:r>
      <w:r>
        <w:rPr>
          <w:highlight w:val="none"/>
        </w:rPr>
        <w:t xml:space="preserve">am</w:t>
      </w:r>
      <w:r>
        <w:rPr>
          <w:highlight w:val="none"/>
        </w:rPr>
        <w:t xml:space="preserve"> a probabilidade de </w:t>
      </w:r>
      <w:r>
        <w:rPr>
          <w:i/>
          <w:iCs/>
          <w:highlight w:val="none"/>
        </w:rPr>
        <w:t xml:space="preserve">churn</w:t>
      </w:r>
      <w:r>
        <w:rPr>
          <w:highlight w:val="none"/>
        </w:rPr>
        <w:t xml:space="preserve"> de cada cliente</w:t>
      </w:r>
      <w:r>
        <w:rPr>
          <w:highlight w:val="none"/>
        </w:rPr>
        <w:t xml:space="preserve">. Os parâmetros do modelo de regressão logística </w:t>
      </w:r>
      <w:r>
        <w:rPr>
          <w:highlight w:val="none"/>
        </w:rPr>
        <w:t xml:space="preserve">foram </w:t>
      </w:r>
      <w:r>
        <w:rPr>
          <w:highlight w:val="none"/>
        </w:rPr>
        <w:t xml:space="preserve">estimados por máxima verossimilhança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Os modelos </w:t>
      </w:r>
      <w:r>
        <w:rPr>
          <w:highlight w:val="none"/>
        </w:rPr>
        <w:t xml:space="preserve">foram</w:t>
      </w:r>
      <w:r>
        <w:rPr>
          <w:highlight w:val="none"/>
        </w:rPr>
        <w:t xml:space="preserve"> testados no conjunto de teste, a fim de avaliar a capacidade de generalização em dados não utilizados no treinamento, e t</w:t>
      </w:r>
      <w:r>
        <w:rPr>
          <w:highlight w:val="none"/>
        </w:rPr>
        <w:t xml:space="preserve">iveram</w:t>
      </w:r>
      <w:r>
        <w:rPr>
          <w:highlight w:val="none"/>
        </w:rPr>
        <w:t xml:space="preserve"> suas </w:t>
      </w:r>
      <w:r>
        <w:rPr>
          <w:highlight w:val="none"/>
        </w:rPr>
        <w:t xml:space="preserve">performances comparadas por meio </w:t>
      </w:r>
      <w:r>
        <w:rPr>
          <w:highlight w:val="none"/>
        </w:rPr>
        <w:t xml:space="preserve">de</w:t>
      </w:r>
      <w:r>
        <w:rPr>
          <w:highlight w:val="none"/>
        </w:rPr>
        <w:t xml:space="preserve"> métricas como acurácia, sensitividade, especificidade, e pela área sob a curva ROC (</w:t>
      </w:r>
      <w:r>
        <w:rPr>
          <w:i/>
          <w:iCs/>
          <w:highlight w:val="none"/>
        </w:rPr>
        <w:t xml:space="preserve">Receiver</w:t>
      </w:r>
      <w:r>
        <w:rPr>
          <w:i/>
          <w:iCs/>
          <w:highlight w:val="none"/>
        </w:rPr>
        <w:t xml:space="preserve"> </w:t>
      </w:r>
      <w:r>
        <w:rPr>
          <w:i/>
          <w:iCs/>
          <w:highlight w:val="none"/>
        </w:rPr>
        <w:t xml:space="preserve">Operating</w:t>
      </w:r>
      <w:r>
        <w:rPr>
          <w:i/>
          <w:iCs/>
          <w:highlight w:val="none"/>
        </w:rPr>
        <w:t xml:space="preserve"> </w:t>
      </w:r>
      <w:r>
        <w:rPr>
          <w:i/>
          <w:iCs/>
          <w:highlight w:val="none"/>
        </w:rPr>
        <w:t xml:space="preserve">Characteristic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ind w:firstLine="708"/>
        <w:spacing w:line="360" w:lineRule="auto"/>
      </w:pPr>
      <w:r>
        <w:t xml:space="preserve">A curva ROC, segundo James </w:t>
      </w:r>
      <w:r>
        <w:t xml:space="preserve">e colaboradores</w:t>
      </w:r>
      <w:r>
        <w:t xml:space="preserve"> (2021), é traçada por um gráfico que apresenta para todos os pontos de corte, a interação entre os verdadeiros positivos </w:t>
      </w:r>
      <w:r>
        <w:t xml:space="preserve">(sensitividade), e os falsos positivos (1 – especificidade) do modelo, plotados respectivamente no eixo das ordenadas e abscissas. A área sob a curva ROC, cujo valor máximo é um, </w:t>
      </w:r>
      <w:r>
        <w:t xml:space="preserve">foi </w:t>
      </w:r>
      <w:r>
        <w:t xml:space="preserve">utilizada para comparar a performance preditiva dos modelos, uma vez que quanto maior a área, maior a capacidade preditiva.</w:t>
      </w:r>
      <w:r/>
    </w:p>
    <w:p>
      <w:pPr>
        <w:ind w:firstLine="709"/>
        <w:spacing w:line="360" w:lineRule="auto"/>
        <w:rPr>
          <w:color w:val="000000"/>
        </w:rPr>
      </w:pPr>
      <w:r>
        <w:rPr>
          <w:color w:val="000000"/>
        </w:rPr>
        <w:t xml:space="preserve">A linguagem de programação R v. 4.1.1 (R Core Team, 2021), </w:t>
      </w:r>
      <w:r>
        <w:rPr>
          <w:color w:val="000000"/>
        </w:rPr>
        <w:t xml:space="preserve">foi</w:t>
      </w:r>
      <w:r>
        <w:rPr>
          <w:color w:val="000000"/>
        </w:rPr>
        <w:t xml:space="preserve"> utilizada para desenvolver o trabalho, com o auxílio dos pacotes:</w:t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caret</w:t>
      </w:r>
      <w:r>
        <w:rPr>
          <w:color w:val="000000"/>
        </w:rPr>
        <w:t xml:space="preserve"> (Kuhn, 202</w:t>
      </w:r>
      <w:r>
        <w:rPr>
          <w:color w:val="000000"/>
        </w:rPr>
        <w:t xml:space="preserve">2</w:t>
      </w:r>
      <w:r>
        <w:rPr>
          <w:color w:val="000000"/>
        </w:rPr>
        <w:t xml:space="preserve">) – Criação de amostras aleatórias estratificadas para treinamento e teste; construção de matrizes de confusão.</w:t>
      </w:r>
      <w:r>
        <w:rPr>
          <w:color w:val="000000"/>
        </w:rPr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  <w:highlight w:val="none"/>
        </w:rPr>
      </w:r>
      <w:r>
        <w:rPr>
          <w:color w:val="000000"/>
          <w:highlight w:val="none"/>
        </w:rPr>
        <w:t xml:space="preserve">fastDummies (</w:t>
      </w:r>
      <w:r>
        <w:rPr>
          <w:color w:val="000000"/>
          <w:highlight w:val="none"/>
        </w:rPr>
        <w:t xml:space="preserve">Kaplan, 2020) </w:t>
      </w:r>
      <w:r>
        <w:rPr>
          <w:color w:val="000000"/>
        </w:rPr>
        <w:t xml:space="preserve">– Construção de variáveis binárias, a partir de variáveis categóricas.</w:t>
      </w:r>
      <w:r>
        <w:rPr>
          <w:color w:val="000000"/>
          <w:highlight w:val="none"/>
        </w:rPr>
      </w:r>
      <w:r>
        <w:rPr>
          <w:color w:val="000000"/>
          <w:highlight w:val="none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  <w:highlight w:val="none"/>
        </w:rPr>
      </w:r>
      <w:r>
        <w:rPr>
          <w:color w:val="000000"/>
        </w:rPr>
        <w:t xml:space="preserve">ggrepel</w:t>
      </w:r>
      <w:r>
        <w:rPr>
          <w:color w:val="000000"/>
        </w:rPr>
        <w:t xml:space="preserve"> </w:t>
      </w:r>
      <w:r>
        <w:rPr>
          <w:color w:val="000000"/>
        </w:rPr>
        <w:t xml:space="preserve">(</w:t>
      </w:r>
      <w:r>
        <w:rPr>
          <w:color w:val="000000"/>
        </w:rPr>
        <w:t xml:space="preserve">Slowikowski</w:t>
      </w:r>
      <w:r>
        <w:rPr>
          <w:color w:val="000000"/>
        </w:rPr>
        <w:t xml:space="preserve">, 2021)</w:t>
      </w:r>
      <w:r>
        <w:rPr>
          <w:color w:val="000000"/>
        </w:rPr>
        <w:t xml:space="preserve"> – Inclusão de rótulos não sobrepostos, nos gráficos.</w:t>
      </w:r>
      <w:r/>
      <w:r>
        <w:rPr>
          <w:color w:val="000000"/>
          <w:highlight w:val="none"/>
        </w:rPr>
      </w:r>
      <w:r>
        <w:rPr>
          <w:color w:val="000000"/>
          <w:highlight w:val="none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glue</w:t>
      </w:r>
      <w:r>
        <w:rPr>
          <w:color w:val="000000"/>
        </w:rPr>
        <w:t xml:space="preserve"> (</w:t>
      </w:r>
      <w:r>
        <w:rPr>
          <w:color w:val="000000"/>
        </w:rPr>
        <w:t xml:space="preserve">Hester</w:t>
      </w:r>
      <w:r>
        <w:rPr>
          <w:color w:val="000000"/>
        </w:rPr>
        <w:t xml:space="preserve"> e Bryan, 2022)</w:t>
      </w:r>
      <w:r>
        <w:rPr>
          <w:color w:val="000000"/>
        </w:rPr>
        <w:t xml:space="preserve"> </w:t>
      </w:r>
      <w:r>
        <w:rPr>
          <w:color w:val="000000"/>
        </w:rPr>
        <w:t xml:space="preserve">–</w:t>
      </w:r>
      <w:r>
        <w:rPr>
          <w:color w:val="000000"/>
        </w:rPr>
        <w:t xml:space="preserve"> Operações com dados em formato de texto.</w:t>
      </w:r>
      <w:r>
        <w:rPr>
          <w:color w:val="000000"/>
        </w:rPr>
      </w:r>
      <w:r/>
      <w:r>
        <w:rPr>
          <w:color w:val="000000"/>
        </w:rPr>
      </w:r>
      <w:r>
        <w:rPr>
          <w:color w:val="000000"/>
        </w:rPr>
      </w:r>
      <w:r/>
      <w:r>
        <w:rPr>
          <w:color w:val="000000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  <w:t xml:space="preserve">MASS 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Venables e Ripley, 2002)</w:t>
      </w:r>
      <w:r>
        <w:rPr>
          <w:rFonts w:ascii="Arial" w:hAnsi="Arial" w:cs="Arial" w:eastAsia="Arial"/>
          <w:color w:val="000000"/>
          <w:sz w:val="22"/>
        </w:rPr>
        <w:t xml:space="preserve"> – Seleção de modelos de regressão logística, utilizando AIC.</w:t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</w:p>
    <w:p>
      <w:pPr>
        <w:pStyle w:val="1128"/>
        <w:numPr>
          <w:ilvl w:val="0"/>
          <w:numId w:val="11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randomForest 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Liaw e Wiener, 2002)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 </w:t>
      </w:r>
      <w:r>
        <w:rPr>
          <w:rFonts w:ascii="Arial" w:hAnsi="Arial" w:cs="Arial" w:eastAsia="Arial"/>
          <w:color w:val="000000"/>
          <w:sz w:val="22"/>
        </w:rPr>
        <w:t xml:space="preserve">– Treinar modelo </w:t>
      </w:r>
      <w:r>
        <w:rPr>
          <w:rFonts w:ascii="Arial" w:hAnsi="Arial" w:cs="Arial" w:eastAsia="Arial"/>
          <w:i/>
          <w:color w:val="000000"/>
          <w:sz w:val="22"/>
        </w:rPr>
        <w:t xml:space="preserve">random forest.</w:t>
      </w:r>
      <w:r>
        <w:rPr>
          <w:rFonts w:ascii="Arial" w:hAnsi="Arial" w:cs="Arial" w:eastAsia="Arial"/>
          <w:color w:val="000000"/>
          <w:sz w:val="22"/>
        </w:rPr>
      </w:r>
      <w:r>
        <w:rPr>
          <w:rFonts w:ascii="Arial" w:hAnsi="Arial" w:cs="Arial" w:eastAsia="Arial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</w:rPr>
        <w:t xml:space="preserve">readxl</w:t>
      </w:r>
      <w:r>
        <w:rPr>
          <w:rFonts w:ascii="Arial" w:hAnsi="Arial" w:cs="Arial" w:eastAsia="Arial"/>
          <w:color w:val="000000"/>
          <w:sz w:val="22"/>
        </w:rPr>
        <w:t xml:space="preserve"> (Wickham e Bryan, 2019)</w:t>
      </w:r>
      <w:r>
        <w:rPr>
          <w:rFonts w:ascii="Arial" w:hAnsi="Arial" w:cs="Arial" w:eastAsia="Arial"/>
          <w:color w:val="000000"/>
          <w:sz w:val="22"/>
        </w:rPr>
        <w:t xml:space="preserve"> – L</w:t>
      </w:r>
      <w:r>
        <w:rPr>
          <w:rFonts w:ascii="Arial" w:hAnsi="Arial" w:cs="Arial" w:eastAsia="Arial"/>
          <w:color w:val="000000"/>
          <w:sz w:val="22"/>
        </w:rPr>
        <w:t xml:space="preserve">eitura de </w:t>
      </w:r>
      <w:r>
        <w:rPr>
          <w:rFonts w:ascii="Arial" w:hAnsi="Arial" w:cs="Arial" w:eastAsia="Arial"/>
          <w:i/>
          <w:iCs/>
          <w:color w:val="000000"/>
          <w:sz w:val="22"/>
        </w:rPr>
        <w:t xml:space="preserve">dataset</w:t>
      </w:r>
      <w:r>
        <w:rPr>
          <w:rFonts w:ascii="Arial" w:hAnsi="Arial" w:cs="Arial" w:eastAsia="Arial"/>
          <w:color w:val="000000"/>
          <w:sz w:val="22"/>
        </w:rPr>
        <w:t xml:space="preserve"> no formato </w:t>
      </w:r>
      <w:r>
        <w:rPr>
          <w:rFonts w:ascii="Arial" w:hAnsi="Arial" w:cs="Arial" w:eastAsia="Arial"/>
          <w:color w:val="000000"/>
          <w:sz w:val="22"/>
        </w:rPr>
        <w:t xml:space="preserve">xlsx</w:t>
      </w:r>
      <w:r>
        <w:rPr>
          <w:rFonts w:ascii="Arial" w:hAnsi="Arial" w:cs="Arial" w:eastAsia="Arial"/>
          <w:color w:val="000000"/>
          <w:sz w:val="22"/>
        </w:rPr>
        <w:t xml:space="preserve">.</w:t>
      </w:r>
      <w:r>
        <w:rPr>
          <w:rFonts w:ascii="Arial" w:hAnsi="Arial" w:cs="Arial" w:eastAsia="Arial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</w:rPr>
        <w:t xml:space="preserve">ROCR</w:t>
      </w:r>
      <w:r>
        <w:rPr>
          <w:rFonts w:ascii="Arial" w:hAnsi="Arial" w:cs="Arial" w:eastAsia="Arial"/>
          <w:color w:val="000000"/>
          <w:sz w:val="22"/>
        </w:rPr>
        <w:t xml:space="preserve"> 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Sing et al., 2005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)</w:t>
      </w:r>
      <w:r>
        <w:rPr>
          <w:rFonts w:ascii="Arial" w:hAnsi="Arial" w:cs="Arial" w:eastAsia="Arial"/>
          <w:color w:val="000000"/>
          <w:sz w:val="22"/>
        </w:rPr>
        <w:t xml:space="preserve"> – Calcular a área sob a curva ROC.</w:t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</w:p>
    <w:p>
      <w:pPr>
        <w:pStyle w:val="1128"/>
        <w:numPr>
          <w:ilvl w:val="0"/>
          <w:numId w:val="1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rpart (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Therneau e Atkinson, 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2022) </w:t>
      </w:r>
      <w:r>
        <w:rPr>
          <w:rFonts w:ascii="Arial" w:hAnsi="Arial" w:cs="Arial" w:eastAsia="Arial"/>
          <w:color w:val="000000"/>
          <w:sz w:val="22"/>
        </w:rPr>
        <w:t xml:space="preserve">–</w:t>
      </w:r>
      <w:r>
        <w:rPr>
          <w:rFonts w:ascii="Arial" w:hAnsi="Arial" w:cs="Arial" w:eastAsia="Arial"/>
          <w:color w:val="000000"/>
          <w:sz w:val="22"/>
        </w:rPr>
        <w:t xml:space="preserve"> Treinar árvore de decisão.</w:t>
      </w:r>
      <w:r>
        <w:rPr>
          <w:rFonts w:ascii="Arial" w:hAnsi="Arial" w:cs="Arial" w:eastAsia="Arial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rpart.plot (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Milborrow, 2022) </w:t>
      </w:r>
      <w:r>
        <w:rPr>
          <w:rFonts w:ascii="Arial" w:hAnsi="Arial" w:cs="Arial" w:eastAsia="Arial"/>
          <w:color w:val="000000"/>
          <w:sz w:val="22"/>
        </w:rPr>
        <w:t xml:space="preserve">– Extrair sintaxe das folhas da árvore de decisão.</w:t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</w:rPr>
        <w:t xml:space="preserve">stats</w:t>
      </w:r>
      <w:r>
        <w:rPr>
          <w:rFonts w:ascii="Arial" w:hAnsi="Arial" w:cs="Arial" w:eastAsia="Arial"/>
          <w:color w:val="000000"/>
          <w:sz w:val="22"/>
        </w:rPr>
        <w:t xml:space="preserve"> (R Core Team, 2021) – Treinar modelo de regressão logística binária.</w:t>
      </w:r>
      <w:r>
        <w:rPr>
          <w:rFonts w:ascii="Arial" w:hAnsi="Arial" w:cs="Arial" w:eastAsia="Arial"/>
          <w:color w:val="000000"/>
          <w:sz w:val="22"/>
        </w:rPr>
      </w:r>
      <w:r>
        <w:rPr>
          <w:rFonts w:ascii="Arial" w:hAnsi="Arial" w:cs="Arial" w:eastAsia="Arial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rFonts w:ascii="Arial" w:hAnsi="Arial" w:cs="Arial" w:eastAsia="Arial"/>
          <w:color w:val="000000"/>
          <w:sz w:val="22"/>
        </w:rPr>
        <w:t xml:space="preserve">tidycensus</w:t>
      </w:r>
      <w:r>
        <w:rPr>
          <w:rFonts w:ascii="Arial" w:hAnsi="Arial" w:cs="Arial" w:eastAsia="Arial"/>
          <w:color w:val="000000"/>
          <w:sz w:val="22"/>
        </w:rPr>
        <w:t xml:space="preserve"> (Walker e Herman, 2022)</w:t>
      </w:r>
      <w:r>
        <w:rPr>
          <w:rFonts w:ascii="Arial" w:hAnsi="Arial" w:cs="Arial" w:eastAsia="Arial"/>
          <w:color w:val="000000"/>
          <w:sz w:val="22"/>
        </w:rPr>
        <w:t xml:space="preserve"> – </w:t>
      </w:r>
      <w:r>
        <w:rPr>
          <w:rFonts w:ascii="Arial" w:hAnsi="Arial" w:cs="Arial" w:eastAsia="Arial"/>
          <w:color w:val="000000"/>
          <w:sz w:val="22"/>
        </w:rPr>
        <w:t xml:space="preserve">Obtenção do</w:t>
      </w:r>
      <w:r>
        <w:rPr>
          <w:color w:val="000000"/>
        </w:rPr>
        <w:t xml:space="preserve">s d</w:t>
      </w:r>
      <w:r>
        <w:rPr>
          <w:color w:val="000000"/>
        </w:rPr>
        <w:t xml:space="preserve">ados censitários da </w:t>
      </w:r>
      <w:r>
        <w:rPr>
          <w:i/>
          <w:iCs/>
          <w:color w:val="000000"/>
        </w:rPr>
        <w:t xml:space="preserve">American Community </w:t>
      </w:r>
      <w:r>
        <w:rPr>
          <w:i/>
          <w:iCs/>
          <w:color w:val="000000"/>
        </w:rPr>
        <w:t xml:space="preserve">Survey</w:t>
      </w:r>
      <w:r>
        <w:rPr>
          <w:i/>
          <w:iCs/>
          <w:color w:val="000000"/>
        </w:rPr>
        <w:t xml:space="preserve">.</w:t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tidyverse</w:t>
      </w:r>
      <w:r>
        <w:rPr>
          <w:color w:val="000000"/>
        </w:rPr>
        <w:t xml:space="preserve"> (Wickham et al., 2019) – Manipulação</w:t>
      </w:r>
      <w:r>
        <w:rPr>
          <w:color w:val="000000"/>
        </w:rPr>
        <w:t xml:space="preserve"> e</w:t>
      </w:r>
      <w:r>
        <w:rPr>
          <w:color w:val="000000"/>
        </w:rPr>
        <w:t xml:space="preserve"> transformação </w:t>
      </w:r>
      <w:r>
        <w:rPr>
          <w:color w:val="000000"/>
        </w:rPr>
        <w:t xml:space="preserve">e </w:t>
      </w:r>
      <w:r>
        <w:rPr>
          <w:color w:val="000000"/>
        </w:rPr>
        <w:t xml:space="preserve">de dados.</w:t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tigris</w:t>
      </w:r>
      <w:r>
        <w:rPr>
          <w:color w:val="000000"/>
        </w:rPr>
        <w:t xml:space="preserve"> (Walker, 2022)</w:t>
      </w:r>
      <w:r>
        <w:rPr>
          <w:color w:val="000000"/>
        </w:rPr>
        <w:t xml:space="preserve"> – </w:t>
      </w:r>
      <w:r>
        <w:rPr>
          <w:color w:val="000000"/>
        </w:rPr>
        <w:t xml:space="preserve">Obtenção </w:t>
      </w:r>
      <w:r>
        <w:rPr>
          <w:color w:val="000000"/>
        </w:rPr>
        <w:t xml:space="preserve">d</w:t>
      </w:r>
      <w:r>
        <w:rPr>
          <w:color w:val="000000"/>
        </w:rPr>
        <w:t xml:space="preserve">e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shapefiles</w:t>
      </w:r>
      <w:r>
        <w:rPr>
          <w:color w:val="000000"/>
        </w:rPr>
        <w:t xml:space="preserve"> do estado da Cali</w:t>
      </w:r>
      <w:r>
        <w:rPr>
          <w:color w:val="000000"/>
        </w:rPr>
        <w:t xml:space="preserve">fórnia.</w:t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zipcodeR</w:t>
      </w:r>
      <w:r>
        <w:rPr>
          <w:color w:val="000000"/>
        </w:rPr>
        <w:t xml:space="preserve"> (</w:t>
      </w:r>
      <w:r>
        <w:rPr>
          <w:color w:val="000000"/>
        </w:rPr>
        <w:t xml:space="preserve">Rozzi</w:t>
      </w:r>
      <w:r>
        <w:rPr>
          <w:color w:val="000000"/>
        </w:rPr>
        <w:t xml:space="preserve">, 2021)</w:t>
      </w:r>
      <w:r>
        <w:rPr>
          <w:color w:val="000000"/>
        </w:rPr>
        <w:t xml:space="preserve"> –</w:t>
      </w:r>
      <w:r>
        <w:rPr>
          <w:color w:val="000000"/>
        </w:rPr>
        <w:t xml:space="preserve"> Consulta d</w:t>
      </w:r>
      <w:r>
        <w:rPr>
          <w:color w:val="000000"/>
        </w:rPr>
        <w:t xml:space="preserve">as</w:t>
      </w:r>
      <w:r>
        <w:rPr>
          <w:color w:val="000000"/>
        </w:rPr>
        <w:t xml:space="preserve"> </w:t>
      </w:r>
      <w:r>
        <w:rPr>
          <w:color w:val="000000"/>
        </w:rPr>
        <w:t xml:space="preserve">associaç</w:t>
      </w:r>
      <w:r>
        <w:rPr>
          <w:color w:val="000000"/>
        </w:rPr>
        <w:t xml:space="preserve">ões</w:t>
      </w:r>
      <w:r>
        <w:rPr>
          <w:color w:val="000000"/>
        </w:rPr>
        <w:t xml:space="preserve"> entre </w:t>
      </w:r>
      <w:r>
        <w:rPr>
          <w:i/>
          <w:iCs/>
          <w:color w:val="000000"/>
        </w:rPr>
        <w:t xml:space="preserve">zip </w:t>
      </w:r>
      <w:r>
        <w:rPr>
          <w:i/>
          <w:iCs/>
          <w:color w:val="000000"/>
        </w:rPr>
        <w:t xml:space="preserve">codes</w:t>
      </w:r>
      <w:r>
        <w:rPr>
          <w:color w:val="000000"/>
        </w:rPr>
        <w:t xml:space="preserve"> e condados do estado da Califórnia.</w:t>
      </w:r>
      <w:r/>
      <w:r>
        <w:rPr>
          <w:color w:val="000000"/>
          <w:highlight w:val="none"/>
        </w:rPr>
      </w:r>
      <w:r>
        <w:rPr>
          <w:color w:val="000000"/>
          <w:highlight w:val="none"/>
        </w:rPr>
      </w:r>
      <w:r>
        <w:rPr>
          <w:color w:val="000000"/>
          <w:highlight w:val="none"/>
        </w:rPr>
      </w:r>
      <w:r>
        <w:rPr>
          <w:color w:val="000000"/>
          <w:highlight w:val="none"/>
        </w:rPr>
      </w:r>
      <w:r>
        <w:rPr>
          <w:color w:val="000000"/>
          <w:highlight w:val="none"/>
        </w:rPr>
      </w:r>
      <w:r>
        <w:rPr>
          <w:color w:val="000000"/>
        </w:rPr>
      </w:r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  <w:t xml:space="preserve">Resultados </w:t>
      </w:r>
      <w:r>
        <w:rPr>
          <w:b/>
        </w:rPr>
        <w:t xml:space="preserve">e Discussão</w:t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ind w:firstLine="709"/>
        <w:spacing w:line="360" w:lineRule="auto"/>
        <w:rPr>
          <w:color w:val="000000"/>
        </w:rPr>
      </w:pPr>
      <w:r>
        <w:rPr>
          <w:bCs/>
        </w:rPr>
        <w:t xml:space="preserve">Foi constatado</w:t>
      </w:r>
      <w:r>
        <w:rPr>
          <w:bCs/>
        </w:rPr>
        <w:t xml:space="preserve"> </w:t>
      </w:r>
      <w:r>
        <w:rPr>
          <w:bCs/>
        </w:rPr>
        <w:t xml:space="preserve">que o</w:t>
      </w:r>
      <w:r>
        <w:rPr>
          <w:bCs/>
        </w:rPr>
        <w:t xml:space="preserve">s</w:t>
      </w:r>
      <w:r>
        <w:rPr>
          <w:bCs/>
        </w:rPr>
        <w:t xml:space="preserve"> motivo</w:t>
      </w:r>
      <w:r>
        <w:rPr>
          <w:bCs/>
        </w:rPr>
        <w:t xml:space="preserve">s</w:t>
      </w:r>
      <w:r>
        <w:rPr>
          <w:bCs/>
        </w:rPr>
        <w:t xml:space="preserve"> mais </w:t>
      </w:r>
      <w:r>
        <w:rPr>
          <w:bCs/>
        </w:rPr>
        <w:t xml:space="preserve">comuns</w:t>
      </w:r>
      <w:r>
        <w:rPr>
          <w:bCs/>
        </w:rPr>
        <w:t xml:space="preserve"> </w:t>
      </w:r>
      <w:r>
        <w:rPr>
          <w:bCs/>
        </w:rPr>
        <w:t xml:space="preserve">que </w:t>
      </w:r>
      <w:r>
        <w:rPr>
          <w:color w:val="000000"/>
        </w:rPr>
        <w:t xml:space="preserve">acarreta</w:t>
      </w:r>
      <w:r>
        <w:rPr>
          <w:color w:val="000000"/>
        </w:rPr>
        <w:t xml:space="preserve">ra</w:t>
      </w:r>
      <w:r>
        <w:rPr>
          <w:color w:val="000000"/>
        </w:rPr>
        <w:t xml:space="preserve">m </w:t>
      </w:r>
      <w:r>
        <w:rPr>
          <w:color w:val="000000"/>
        </w:rPr>
        <w:t xml:space="preserve">a</w:t>
      </w:r>
      <w:r>
        <w:rPr>
          <w:color w:val="000000"/>
        </w:rPr>
        <w:t xml:space="preserve"> perda de clientes, estão relacionados à alguma empresa concorrente </w:t>
      </w:r>
      <w:r>
        <w:rPr>
          <w:color w:val="000000"/>
        </w:rPr>
        <w:t xml:space="preserve">oferecendo</w:t>
      </w:r>
      <w:r>
        <w:rPr>
          <w:color w:val="000000"/>
        </w:rPr>
        <w:t xml:space="preserve"> melhores dispositivos e planos</w:t>
      </w:r>
      <w:r>
        <w:rPr>
          <w:color w:val="000000"/>
        </w:rPr>
        <w:t xml:space="preserve">, bem como</w:t>
      </w:r>
      <w:r>
        <w:rPr>
          <w:color w:val="000000"/>
        </w:rPr>
        <w:t xml:space="preserve"> </w:t>
      </w:r>
      <w:r>
        <w:rPr>
          <w:color w:val="000000"/>
        </w:rPr>
        <w:t xml:space="preserve">aspectos relacionados ao </w:t>
      </w:r>
      <w:r>
        <w:rPr>
          <w:color w:val="000000"/>
        </w:rPr>
        <w:t xml:space="preserve">comportamento ou postura do profissional do suporte técnico</w:t>
      </w:r>
      <w:r>
        <w:rPr>
          <w:color w:val="000000"/>
        </w:rPr>
        <w:t xml:space="preserve">, conforme apresentado </w:t>
      </w:r>
      <w:r>
        <w:rPr>
          <w:color w:val="000000"/>
        </w:rPr>
        <w:t xml:space="preserve">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_Ref103543423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1</w:t>
      </w:r>
      <w:r>
        <w:rPr>
          <w:bCs/>
        </w:rPr>
        <w:fldChar w:fldCharType="end"/>
      </w:r>
      <w:r>
        <w:rPr>
          <w:color w:val="000000"/>
        </w:rPr>
        <w:t xml:space="preserve">.</w:t>
      </w:r>
      <w:r>
        <w:rPr>
          <w:color w:val="000000"/>
        </w:rPr>
        <w:t xml:space="preserve"> Curiosamente, apenas 11</w:t>
      </w:r>
      <w:r>
        <w:rPr>
          <w:color w:val="000000"/>
        </w:rPr>
        <w:t xml:space="preserve">,</w:t>
      </w:r>
      <w:r>
        <w:rPr>
          <w:color w:val="000000"/>
        </w:rPr>
        <w:t xml:space="preserve">3% dos clientes </w:t>
      </w:r>
      <w:r>
        <w:rPr>
          <w:color w:val="000000"/>
        </w:rPr>
        <w:t xml:space="preserve">cancelaram o serviço por razões vinculadas ao preço praticado pela companhia, e eventuais cobranças por utilização extra de serviços</w:t>
      </w:r>
      <w:r>
        <w:rPr>
          <w:color w:val="000000"/>
        </w:rP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spacing w:line="360" w:lineRule="auto"/>
        <w:rPr>
          <w:color w:val="000000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359785"/>
                <wp:effectExtent l="0" t="0" r="0" b="0"/>
                <wp:docPr id="7" name="Picture 8" descr="Chart, bar 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Chart, bar 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59450" cy="335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3.5pt;height:264.6pt;" stroked="f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/>
      <w:bookmarkStart w:id="16" w:name="_Ref103543423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6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dos motivos de </w:t>
      </w:r>
      <w:r>
        <w:rPr>
          <w:color w:val="auto"/>
          <w:sz w:val="22"/>
          <w:szCs w:val="22"/>
        </w:rPr>
        <w:t xml:space="preserve">churn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/>
        </w:rPr>
      </w:pPr>
      <w:r>
        <w:rPr>
          <w:b/>
        </w:rPr>
      </w:r>
      <w:r/>
    </w:p>
    <w:p>
      <w:pPr>
        <w:ind w:firstLine="360"/>
        <w:spacing w:line="360" w:lineRule="auto"/>
        <w:rPr>
          <w:color w:val="000000"/>
        </w:rPr>
      </w:pPr>
      <w:r>
        <w:t xml:space="preserve">Para </w:t>
      </w:r>
      <w:r>
        <w:rPr>
          <w:color w:val="000000"/>
        </w:rPr>
        <w:t xml:space="preserve">Mattison (2005), que segmen</w:t>
      </w:r>
      <w:r>
        <w:rPr>
          <w:color w:val="000000"/>
        </w:rPr>
        <w:t xml:space="preserve">t</w:t>
      </w:r>
      <w:r>
        <w:rPr>
          <w:color w:val="000000"/>
        </w:rPr>
        <w:t xml:space="preserve">a o fenômeno do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em duas grandes categorias,</w:t>
      </w:r>
      <w:r>
        <w:rPr>
          <w:color w:val="000000"/>
        </w:rPr>
        <w:t xml:space="preserve"> </w:t>
      </w:r>
      <w:r>
        <w:rPr>
          <w:color w:val="000000"/>
        </w:rPr>
        <w:t xml:space="preserve">voluntário e involuntário, </w:t>
      </w:r>
      <w:r>
        <w:rPr>
          <w:color w:val="000000"/>
        </w:rPr>
        <w:t xml:space="preserve">são</w:t>
      </w:r>
      <w:r>
        <w:rPr>
          <w:color w:val="000000"/>
        </w:rPr>
        <w:t xml:space="preserve"> participantes da primeira categoria os</w:t>
      </w:r>
      <w:r>
        <w:t xml:space="preserve"> clientes que optam pela rescisão do contrato de serviço de forma deliberada ou não; </w:t>
      </w:r>
      <w:r>
        <w:rPr>
          <w:color w:val="000000"/>
        </w:rPr>
        <w:t xml:space="preserve">e da segunda categoria, </w:t>
      </w:r>
      <w:r>
        <w:rPr>
          <w:color w:val="000000"/>
        </w:rPr>
        <w:t xml:space="preserve">a</w:t>
      </w:r>
      <w:r>
        <w:rPr>
          <w:color w:val="000000"/>
        </w:rPr>
        <w:t xml:space="preserve">queles que têm o contrato rescindido por decisão e vontade da </w:t>
      </w:r>
      <w:r>
        <w:t xml:space="preserve">companhia</w:t>
      </w:r>
      <w:r>
        <w:rPr>
          <w:color w:val="000000"/>
        </w:rPr>
        <w:t xml:space="preserve">,</w:t>
      </w:r>
      <w:r>
        <w:rPr>
          <w:color w:val="000000"/>
        </w:rPr>
        <w:t xml:space="preserve"> </w:t>
      </w:r>
      <w:r>
        <w:rPr>
          <w:color w:val="000000"/>
        </w:rPr>
        <w:t xml:space="preserve">geralmente </w:t>
      </w:r>
      <w:r>
        <w:rPr>
          <w:color w:val="000000"/>
        </w:rPr>
        <w:t xml:space="preserve">motivada por indícios de</w:t>
      </w:r>
      <w:r>
        <w:rPr>
          <w:color w:val="000000"/>
        </w:rPr>
        <w:t xml:space="preserve"> fraude</w:t>
      </w:r>
      <w:r>
        <w:rPr>
          <w:color w:val="000000"/>
        </w:rPr>
        <w:t xml:space="preserve">,</w:t>
      </w:r>
      <w:r>
        <w:rPr>
          <w:color w:val="000000"/>
        </w:rPr>
        <w:t xml:space="preserve"> não pagamento ou não utilização do serviço.</w:t>
      </w:r>
      <w:r/>
    </w:p>
    <w:p>
      <w:pPr>
        <w:ind w:firstLine="360"/>
        <w:spacing w:line="360" w:lineRule="auto"/>
        <w:rPr>
          <w:color w:val="000000"/>
        </w:rPr>
      </w:pPr>
      <w:r>
        <w:rPr>
          <w:color w:val="000000"/>
        </w:rPr>
        <w:t xml:space="preserve">Tendo em vista essa segmentação, </w:t>
      </w:r>
      <w:r>
        <w:rPr>
          <w:color w:val="000000"/>
        </w:rPr>
        <w:t xml:space="preserve">entende-se que a totalidade dos eventos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presentes na base de dados em estudo é composta por casos voluntário</w:t>
      </w:r>
      <w:r>
        <w:rPr>
          <w:color w:val="000000"/>
        </w:rPr>
        <w:t xml:space="preserve">s</w:t>
      </w:r>
      <w:r>
        <w:rPr>
          <w:color w:val="000000"/>
        </w:rPr>
        <w:t xml:space="preserve">, ou </w:t>
      </w:r>
      <w:r>
        <w:rPr>
          <w:color w:val="000000"/>
        </w:rPr>
        <w:t xml:space="preserve">com </w:t>
      </w:r>
      <w:r>
        <w:rPr>
          <w:color w:val="000000"/>
        </w:rPr>
        <w:t xml:space="preserve">um percentual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involuntário máximo </w:t>
      </w:r>
      <w:r>
        <w:rPr>
          <w:color w:val="000000"/>
        </w:rPr>
        <w:t xml:space="preserve">equivalente ao da categoria genérica </w:t>
      </w:r>
      <w:r>
        <w:rPr>
          <w:i/>
          <w:iCs/>
          <w:color w:val="000000"/>
        </w:rPr>
        <w:t xml:space="preserve">“Other”</w:t>
      </w:r>
      <w:r>
        <w:rPr>
          <w:color w:val="000000"/>
        </w:rPr>
        <w:t xml:space="preserve">, isto é,</w:t>
      </w:r>
      <w:r>
        <w:rPr>
          <w:color w:val="000000"/>
        </w:rPr>
        <w:t xml:space="preserve"> 10</w:t>
      </w:r>
      <w:r>
        <w:rPr>
          <w:color w:val="000000"/>
        </w:rPr>
        <w:t xml:space="preserve">,</w:t>
      </w:r>
      <w:r>
        <w:rPr>
          <w:color w:val="000000"/>
        </w:rPr>
        <w:t xml:space="preserve">7%, </w:t>
      </w:r>
      <w:r>
        <w:rPr>
          <w:color w:val="000000"/>
        </w:rPr>
        <w:t xml:space="preserve">constituída por</w:t>
      </w:r>
      <w:r>
        <w:rPr>
          <w:color w:val="000000"/>
        </w:rPr>
        <w:t xml:space="preserve"> clientes </w:t>
      </w:r>
      <w:r>
        <w:rPr>
          <w:color w:val="000000"/>
        </w:rPr>
        <w:t xml:space="preserve">com </w:t>
      </w:r>
      <w:r>
        <w:rPr>
          <w:color w:val="000000"/>
        </w:rPr>
        <w:t xml:space="preserve">motivo de </w:t>
      </w:r>
      <w:r>
        <w:rPr>
          <w:color w:val="000000"/>
        </w:rPr>
        <w:t xml:space="preserve">cancelamento </w:t>
      </w:r>
      <w:r>
        <w:rPr>
          <w:color w:val="000000"/>
        </w:rPr>
        <w:t xml:space="preserve">desconhecido</w:t>
      </w:r>
      <w:r>
        <w:rPr>
          <w:color w:val="000000"/>
        </w:rPr>
        <w:t xml:space="preserve">, uma vez que </w:t>
      </w:r>
      <w:r>
        <w:rPr>
          <w:color w:val="000000"/>
        </w:rPr>
        <w:t xml:space="preserve">o</w:t>
      </w:r>
      <w:r>
        <w:rPr>
          <w:color w:val="000000"/>
        </w:rPr>
        <w:t xml:space="preserve">s demais </w:t>
      </w:r>
      <w:r>
        <w:rPr>
          <w:color w:val="000000"/>
        </w:rPr>
        <w:t xml:space="preserve">grupos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Attitude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Competitor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Dissatisfaction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Price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</w:t>
      </w:r>
      <w:r>
        <w:rPr>
          <w:color w:val="000000"/>
        </w:rPr>
        <w:t xml:space="preserve">correspondem a</w:t>
      </w:r>
      <w:r>
        <w:rPr>
          <w:color w:val="000000"/>
        </w:rPr>
        <w:t xml:space="preserve"> </w:t>
      </w:r>
      <w:r>
        <w:rPr>
          <w:color w:val="000000"/>
        </w:rPr>
        <w:t xml:space="preserve">formas distintas de cancelamento</w:t>
      </w:r>
      <w:r>
        <w:rPr>
          <w:color w:val="000000"/>
        </w:rPr>
        <w:t xml:space="preserve"> </w:t>
      </w:r>
      <w:r>
        <w:rPr>
          <w:color w:val="000000"/>
        </w:rPr>
        <w:t xml:space="preserve">voluntário.</w:t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A satisfação dos clientes, que para Caldeira (2006) resulta da discrepância entre </w:t>
      </w:r>
      <w:r>
        <w:rPr>
          <w:bCs/>
        </w:rPr>
        <w:t xml:space="preserve">a</w:t>
      </w:r>
      <w:r>
        <w:rPr>
          <w:bCs/>
        </w:rPr>
        <w:t xml:space="preserve"> perce</w:t>
      </w:r>
      <w:r>
        <w:rPr>
          <w:bCs/>
        </w:rPr>
        <w:t xml:space="preserve">pção emocional do</w:t>
      </w:r>
      <w:r>
        <w:rPr>
          <w:bCs/>
        </w:rPr>
        <w:t xml:space="preserve"> serviço, e a expectativa gerada pelas propagandas de </w:t>
      </w:r>
      <w:r>
        <w:rPr>
          <w:bCs/>
          <w:i/>
          <w:iCs/>
        </w:rPr>
        <w:t xml:space="preserve">marketing</w:t>
      </w:r>
      <w:r>
        <w:rPr>
          <w:bCs/>
        </w:rPr>
        <w:t xml:space="preserve">, tem, d</w:t>
      </w:r>
      <w:r>
        <w:rPr>
          <w:bCs/>
        </w:rPr>
        <w:t xml:space="preserve">e acordo com </w:t>
      </w:r>
      <w:r>
        <w:rPr>
          <w:bCs/>
        </w:rPr>
        <w:t xml:space="preserve">Anderson </w:t>
      </w:r>
      <w:r>
        <w:rPr>
          <w:bCs/>
        </w:rPr>
        <w:t xml:space="preserve">e</w:t>
      </w:r>
      <w:r>
        <w:rPr>
          <w:bCs/>
        </w:rPr>
        <w:t xml:space="preserve"> Sullivan </w:t>
      </w:r>
      <w:r>
        <w:rPr>
          <w:bCs/>
        </w:rPr>
        <w:t xml:space="preserve">(</w:t>
      </w:r>
      <w:r>
        <w:rPr>
          <w:bCs/>
        </w:rPr>
        <w:t xml:space="preserve">1993</w:t>
      </w:r>
      <w:r>
        <w:rPr>
          <w:bCs/>
        </w:rPr>
        <w:t xml:space="preserve">)</w:t>
      </w:r>
      <w:r>
        <w:rPr>
          <w:bCs/>
        </w:rPr>
        <w:t xml:space="preserve">;</w:t>
      </w:r>
      <w:r>
        <w:rPr>
          <w:bCs/>
        </w:rPr>
        <w:t xml:space="preserve"> e </w:t>
      </w:r>
      <w:r>
        <w:rPr>
          <w:bCs/>
        </w:rPr>
        <w:t xml:space="preserve">Fornell</w:t>
      </w:r>
      <w:r>
        <w:rPr>
          <w:bCs/>
        </w:rPr>
        <w:t xml:space="preserve"> (</w:t>
      </w:r>
      <w:r>
        <w:rPr>
          <w:bCs/>
        </w:rPr>
        <w:t xml:space="preserve">1992</w:t>
      </w:r>
      <w:r>
        <w:rPr>
          <w:bCs/>
        </w:rPr>
        <w:t xml:space="preserve">),</w:t>
      </w:r>
      <w:r>
        <w:rPr>
          <w:bCs/>
        </w:rPr>
        <w:t xml:space="preserve"> </w:t>
      </w:r>
      <w:r>
        <w:rPr>
          <w:bCs/>
        </w:rPr>
        <w:t xml:space="preserve">uma relação diretamente proporcional com a retenção, de modo que quanto maior a satisfação, maior a retenção. Esse fenômeno é sal</w:t>
      </w:r>
      <w:r>
        <w:rPr>
          <w:bCs/>
        </w:rPr>
        <w:t xml:space="preserve">ientado </w:t>
      </w:r>
      <w:r>
        <w:rPr>
          <w:bCs/>
        </w:rPr>
        <w:t xml:space="preserve">na </w:t>
      </w:r>
      <w:r>
        <w:rPr>
          <w:bCs/>
        </w:rPr>
        <w:t xml:space="preserve">distribuição da variável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satisfaction_score</w:t>
      </w:r>
      <w:r>
        <w:rPr>
          <w:bCs/>
          <w:i/>
          <w:iCs/>
        </w:rPr>
        <w:t xml:space="preserve">”</w:t>
      </w:r>
      <w:r>
        <w:rPr>
          <w:bCs/>
        </w:rPr>
        <w:t xml:space="preserve">, conforme apresentado </w:t>
      </w:r>
      <w:r>
        <w:rPr>
          <w:bCs/>
        </w:rPr>
        <w:t xml:space="preserve">na</w:t>
      </w:r>
      <w:r>
        <w:rPr>
          <w:bCs/>
        </w:rPr>
        <w:t xml:space="preserve"> </w:t>
      </w:r>
      <w:r>
        <w:rPr>
          <w:bCs/>
        </w:rPr>
        <w:fldChar w:fldCharType="begin"/>
      </w:r>
      <w:r>
        <w:rPr>
          <w:bCs/>
        </w:rPr>
        <w:instrText xml:space="preserve"> REF _Ref103533912 \h  \* MERGEFORMAT </w:instrText>
      </w:r>
      <w:r>
        <w:rPr>
          <w:bCs/>
        </w:rPr>
        <w:fldChar w:fldCharType="separate"/>
      </w:r>
      <w:r>
        <w:t xml:space="preserve">Tabela </w:t>
      </w:r>
      <w:r>
        <w:t xml:space="preserve">6</w:t>
      </w:r>
      <w:r>
        <w:rPr>
          <w:bCs/>
        </w:rPr>
        <w:fldChar w:fldCharType="end"/>
      </w:r>
      <w:r>
        <w:rPr>
          <w:bCs/>
        </w:rPr>
        <w:t xml:space="preserve">, segundo a qual 100% dos clientes com score de satisfação inferior a </w:t>
      </w:r>
      <w:r>
        <w:rPr>
          <w:bCs/>
        </w:rPr>
        <w:t xml:space="preserve">três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incorreram no fenômeno do </w:t>
      </w:r>
      <w:r>
        <w:rPr>
          <w:bCs/>
          <w:i/>
          <w:iCs/>
        </w:rPr>
        <w:t xml:space="preserve">churn</w:t>
      </w:r>
      <w:r>
        <w:rPr>
          <w:bCs/>
        </w:rPr>
        <w:t xml:space="preserve">, e nenhum dos clientes </w:t>
      </w:r>
      <w:r>
        <w:rPr>
          <w:bCs/>
        </w:rPr>
        <w:t xml:space="preserve">com score maior ou igual a quatro </w:t>
      </w:r>
      <w:r>
        <w:rPr>
          <w:bCs/>
        </w:rPr>
        <w:t xml:space="preserve">cancelou o serviço.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30"/>
        <w:ind w:left="1843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7" w:name="_Ref103533912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6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7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Percentual de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índice de satisfação do cliente</w:t>
      </w:r>
      <w:r/>
    </w:p>
    <w:tbl>
      <w:tblPr>
        <w:tblStyle w:val="1131"/>
        <w:tblW w:w="0" w:type="auto"/>
        <w:jc w:val="center"/>
        <w:tblLook w:val="06A0" w:firstRow="1" w:lastRow="0" w:firstColumn="1" w:lastColumn="0" w:noHBand="1" w:noVBand="1"/>
      </w:tblPr>
      <w:tblGrid>
        <w:gridCol w:w="1977"/>
        <w:gridCol w:w="2467"/>
        <w:gridCol w:w="1072"/>
      </w:tblGrid>
      <w:tr>
        <w:trPr>
          <w:jc w:val="center"/>
          <w:trHeight w:val="163"/>
        </w:trPr>
        <w:tc>
          <w:tcPr>
            <w:tcW w:w="0" w:type="auto"/>
            <w:vAlign w:val="center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satisfaction_score</w:t>
            </w:r>
            <w:r/>
          </w:p>
        </w:tc>
        <w:tc>
          <w:tcPr>
            <w:tcW w:w="0" w:type="auto"/>
            <w:vAlign w:val="center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uantidade de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 clientes</w:t>
            </w:r>
            <w:r/>
          </w:p>
        </w:tc>
        <w:tc>
          <w:tcPr>
            <w:tcW w:w="0" w:type="auto"/>
            <w:vAlign w:val="center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% 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Churn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    922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2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    518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3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2.665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16,1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4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1.789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5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1.149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</w:tbl>
    <w:p>
      <w:pPr>
        <w:ind w:left="1843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 w:firstLine="708"/>
        <w:spacing w:line="360" w:lineRule="auto"/>
        <w:rPr>
          <w:b/>
        </w:rPr>
      </w:pPr>
      <w:r>
        <w:rPr>
          <w:bCs/>
        </w:rPr>
        <w:t xml:space="preserve">Dos clientes perdidos, </w:t>
      </w:r>
      <w:r>
        <w:rPr>
          <w:bCs/>
        </w:rPr>
        <w:t xml:space="preserve">65% não apresentavam uma das principais características de fidelidade, a saber, a indicação do produto ou serviço para outras pessoas</w:t>
      </w:r>
      <w:r>
        <w:rPr>
          <w:bCs/>
        </w:rPr>
        <w:t xml:space="preserve">, e</w:t>
      </w:r>
      <w:r>
        <w:rPr>
          <w:bCs/>
        </w:rPr>
        <w:t xml:space="preserve"> </w:t>
      </w:r>
      <w:r>
        <w:rPr>
          <w:bCs/>
        </w:rPr>
        <w:t xml:space="preserve">90% </w:t>
      </w:r>
      <w:r>
        <w:rPr>
          <w:bCs/>
        </w:rPr>
        <w:t xml:space="preserve">fizeram </w:t>
      </w:r>
      <w:r>
        <w:rPr>
          <w:bCs/>
        </w:rPr>
        <w:t xml:space="preserve">no máximo uma indicaçã</w:t>
      </w:r>
      <w:r>
        <w:rPr>
          <w:bCs/>
        </w:rPr>
        <w:t xml:space="preserve">o</w:t>
      </w:r>
      <w:r>
        <w:rPr>
          <w:bCs/>
        </w:rPr>
        <w:t xml:space="preserve">.</w:t>
      </w:r>
      <w:r>
        <w:rPr>
          <w:bCs/>
        </w:rPr>
        <w:t xml:space="preserve"> </w:t>
      </w:r>
      <w:r>
        <w:rPr>
          <w:bCs/>
        </w:rPr>
        <w:t xml:space="preserve">Verificou-se também</w:t>
      </w:r>
      <w:r>
        <w:rPr>
          <w:bCs/>
        </w:rPr>
        <w:t xml:space="preserve"> expressiva diferença no tempo de </w:t>
      </w:r>
      <w:r>
        <w:rPr>
          <w:bCs/>
        </w:rPr>
        <w:t xml:space="preserve">relacionamento</w:t>
      </w:r>
      <w:r>
        <w:rPr>
          <w:bCs/>
        </w:rPr>
        <w:t xml:space="preserve"> com a companhia entre os </w:t>
      </w:r>
      <w:r>
        <w:rPr>
          <w:bCs/>
        </w:rPr>
        <w:t xml:space="preserve">consumidores que incorreram no evento do </w:t>
      </w:r>
      <w:r>
        <w:rPr>
          <w:bCs/>
          <w:i/>
          <w:iCs/>
        </w:rPr>
        <w:t xml:space="preserve">churn</w:t>
      </w:r>
      <w:r>
        <w:rPr>
          <w:bCs/>
        </w:rPr>
        <w:t xml:space="preserve">,</w:t>
      </w:r>
      <w:r>
        <w:rPr>
          <w:bCs/>
        </w:rPr>
        <w:t xml:space="preserve"> e os demais.</w:t>
      </w:r>
      <w:r>
        <w:rPr>
          <w:bCs/>
        </w:rPr>
        <w:t xml:space="preserve"> </w:t>
      </w:r>
      <w:r>
        <w:rPr>
          <w:bCs/>
        </w:rPr>
        <w:t xml:space="preserve">Para o primeiro público, o </w:t>
      </w:r>
      <w:r>
        <w:rPr>
          <w:bCs/>
        </w:rPr>
        <w:t xml:space="preserve">tempo </w:t>
      </w:r>
      <w:r>
        <w:rPr>
          <w:bCs/>
        </w:rPr>
        <w:t xml:space="preserve">médio </w:t>
      </w:r>
      <w:r>
        <w:rPr>
          <w:bCs/>
        </w:rPr>
        <w:t xml:space="preserve">de relacionamento </w:t>
      </w:r>
      <w:r>
        <w:rPr>
          <w:bCs/>
        </w:rPr>
        <w:t xml:space="preserve">foi</w:t>
      </w:r>
      <w:r>
        <w:rPr>
          <w:bCs/>
        </w:rPr>
        <w:t xml:space="preserve"> de </w:t>
      </w:r>
      <w:r>
        <w:rPr>
          <w:bCs/>
        </w:rPr>
        <w:t xml:space="preserve">18 meses, </w:t>
      </w:r>
      <w:r>
        <w:rPr>
          <w:bCs/>
        </w:rPr>
        <w:t xml:space="preserve">e para o segundo, </w:t>
      </w:r>
      <w:r>
        <w:rPr>
          <w:bCs/>
        </w:rPr>
        <w:t xml:space="preserve">de 37 meses</w:t>
      </w:r>
      <w:r>
        <w:rPr>
          <w:bCs/>
        </w:rPr>
        <w:t xml:space="preserve">, o que </w:t>
      </w:r>
      <w:r>
        <w:rPr>
          <w:bCs/>
        </w:rPr>
        <w:t xml:space="preserve">revela</w:t>
      </w:r>
      <w:r>
        <w:rPr>
          <w:bCs/>
        </w:rPr>
        <w:t xml:space="preserve"> uma associação negativa entre </w:t>
      </w:r>
      <w:r>
        <w:rPr>
          <w:bCs/>
        </w:rPr>
        <w:t xml:space="preserve">a</w:t>
      </w:r>
      <w:r>
        <w:rPr>
          <w:bCs/>
        </w:rPr>
        <w:t xml:space="preserve">s</w:t>
      </w:r>
      <w:r>
        <w:rPr>
          <w:bCs/>
        </w:rPr>
        <w:t xml:space="preserve"> variáve</w:t>
      </w:r>
      <w:r>
        <w:rPr>
          <w:bCs/>
        </w:rPr>
        <w:t xml:space="preserve">is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tenure_in_months</w:t>
      </w:r>
      <w:r>
        <w:rPr>
          <w:bCs/>
          <w:i/>
          <w:iCs/>
        </w:rPr>
        <w:t xml:space="preserve">”</w:t>
      </w:r>
      <w:r>
        <w:rPr>
          <w:bCs/>
        </w:rPr>
        <w:t xml:space="preserve"> e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flg_churn</w:t>
      </w:r>
      <w:r>
        <w:rPr>
          <w:bCs/>
          <w:i/>
          <w:iCs/>
        </w:rPr>
        <w:t xml:space="preserve">”</w:t>
      </w:r>
      <w:r>
        <w:rPr>
          <w:bCs/>
        </w:rPr>
        <w:t xml:space="preserve">.</w:t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Ao fazer uma análise espacial dos dados,</w:t>
      </w:r>
      <w:r>
        <w:rPr>
          <w:bCs/>
        </w:rPr>
        <w:t xml:space="preserve"> </w:t>
      </w:r>
      <w:r>
        <w:rPr>
          <w:bCs/>
        </w:rPr>
        <w:t xml:space="preserve">identificou-se que </w:t>
      </w:r>
      <w:r>
        <w:rPr>
          <w:bCs/>
        </w:rPr>
        <w:t xml:space="preserve">os condados com maior presença de clientes estão localizados </w:t>
      </w:r>
      <w:r>
        <w:rPr>
          <w:bCs/>
        </w:rPr>
        <w:t xml:space="preserve">ao sul do</w:t>
      </w:r>
      <w:r>
        <w:rPr>
          <w:bCs/>
        </w:rPr>
        <w:t xml:space="preserve"> estado da Calif</w:t>
      </w:r>
      <w:r>
        <w:rPr>
          <w:bCs/>
        </w:rPr>
        <w:t xml:space="preserve">ó</w:t>
      </w:r>
      <w:r>
        <w:rPr>
          <w:bCs/>
        </w:rPr>
        <w:t xml:space="preserve">rnia, a saber Los Angeles, o qual concentra 18</w:t>
      </w:r>
      <w:r>
        <w:rPr>
          <w:bCs/>
        </w:rPr>
        <w:t xml:space="preserve">,</w:t>
      </w:r>
      <w:r>
        <w:rPr>
          <w:bCs/>
        </w:rPr>
        <w:t xml:space="preserve">9% de todos os clientes, seguido por San Diego e Orange, os quais, juntos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não alcançam a mesma relevância de Los Angeles, </w:t>
      </w:r>
      <w:r>
        <w:rPr>
          <w:bCs/>
        </w:rPr>
        <w:t xml:space="preserve">congrega</w:t>
      </w:r>
      <w:r>
        <w:rPr>
          <w:bCs/>
        </w:rPr>
        <w:t xml:space="preserve">ndo</w:t>
      </w:r>
      <w:r>
        <w:rPr>
          <w:bCs/>
        </w:rPr>
        <w:t xml:space="preserve"> 13</w:t>
      </w:r>
      <w:r>
        <w:rPr>
          <w:bCs/>
        </w:rPr>
        <w:t xml:space="preserve">,</w:t>
      </w:r>
      <w:r>
        <w:rPr>
          <w:bCs/>
        </w:rPr>
        <w:t xml:space="preserve">8% </w:t>
      </w:r>
      <w:r>
        <w:rPr>
          <w:bCs/>
        </w:rPr>
        <w:t xml:space="preserve">dos</w:t>
      </w:r>
      <w:r>
        <w:rPr>
          <w:bCs/>
        </w:rPr>
        <w:t xml:space="preserve"> clientes</w:t>
      </w:r>
      <w:r>
        <w:rPr>
          <w:bCs/>
        </w:rPr>
        <w:t xml:space="preserve">, conforme ilustrado na </w:t>
      </w:r>
      <w:r>
        <w:rPr>
          <w:bCs/>
        </w:rPr>
        <w:fldChar w:fldCharType="begin"/>
      </w:r>
      <w:r>
        <w:rPr>
          <w:bCs/>
        </w:rPr>
        <w:instrText xml:space="preserve"> REF _Ref103518396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2</w:t>
      </w:r>
      <w:r>
        <w:rPr>
          <w:bCs/>
        </w:rPr>
        <w:fldChar w:fldCharType="end"/>
      </w:r>
      <w:r>
        <w:rPr>
          <w:bCs/>
        </w:rPr>
        <w:t xml:space="preserve">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8" name="Picture 19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3.5pt;height:251.9pt;" stroked="f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1130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18" w:name="_Ref103518396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2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8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de clientes, por condado</w:t>
      </w:r>
      <w:r>
        <w:rPr>
          <w:i w:val="0"/>
          <w:iCs w:val="0"/>
          <w:color w:val="auto"/>
          <w:sz w:val="22"/>
          <w:szCs w:val="22"/>
        </w:rPr>
        <w:t xml:space="preserve">, com destaque para os condados com maiores e menores representatividades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Salienta-se que</w:t>
      </w:r>
      <w:r>
        <w:rPr>
          <w:bCs/>
        </w:rPr>
        <w:t xml:space="preserve"> os condados menos populosos do estado</w:t>
      </w:r>
      <w:r>
        <w:rPr>
          <w:bCs/>
        </w:rPr>
        <w:t xml:space="preserve"> em que a companhia presta seus serviços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s</w:t>
      </w:r>
      <w:r>
        <w:rPr>
          <w:bCs/>
        </w:rPr>
        <w:t xml:space="preserve">ão </w:t>
      </w:r>
      <w:r>
        <w:rPr>
          <w:bCs/>
        </w:rPr>
        <w:t xml:space="preserve">o</w:t>
      </w:r>
      <w:r>
        <w:rPr>
          <w:bCs/>
        </w:rPr>
        <w:t xml:space="preserve">s mais relevantes no aspecto do</w:t>
      </w:r>
      <w:r>
        <w:rPr>
          <w:bCs/>
        </w:rPr>
        <w:t xml:space="preserve"> percentual da população</w:t>
      </w:r>
      <w:r>
        <w:rPr>
          <w:bCs/>
        </w:rPr>
        <w:t xml:space="preserve"> que</w:t>
      </w:r>
      <w:r>
        <w:rPr>
          <w:bCs/>
        </w:rPr>
        <w:t xml:space="preserve"> é ou foi cliente</w:t>
      </w:r>
      <w:r>
        <w:rPr>
          <w:bCs/>
        </w:rPr>
        <w:t xml:space="preserve">, como apresentado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_Ref103518427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3</w:t>
      </w:r>
      <w:r>
        <w:rPr>
          <w:bCs/>
        </w:rPr>
        <w:fldChar w:fldCharType="end"/>
      </w:r>
      <w:r>
        <w:rPr>
          <w:bCs/>
        </w:rPr>
        <w:t xml:space="preserve">.</w:t>
      </w:r>
      <w:r>
        <w:rPr>
          <w:bCs/>
        </w:rPr>
        <w:t xml:space="preserve"> </w:t>
      </w:r>
      <w:r>
        <w:rPr>
          <w:bCs/>
        </w:rPr>
        <w:t xml:space="preserve">Sierra</w:t>
      </w:r>
      <w:r>
        <w:rPr>
          <w:bCs/>
        </w:rPr>
        <w:t xml:space="preserve">, </w:t>
      </w:r>
      <w:r>
        <w:rPr>
          <w:bCs/>
        </w:rPr>
        <w:t xml:space="preserve">Alpine</w:t>
      </w:r>
      <w:r>
        <w:rPr>
          <w:bCs/>
        </w:rPr>
        <w:t xml:space="preserve"> e Trinity estão entre os cinco condados com menor número de habitantes da Califórnia, e dos aproximadamente 2.885 habitantes de </w:t>
      </w:r>
      <w:r>
        <w:rPr>
          <w:bCs/>
        </w:rPr>
        <w:t xml:space="preserve">Sierra</w:t>
      </w:r>
      <w:r>
        <w:rPr>
          <w:bCs/>
        </w:rPr>
        <w:t xml:space="preserve">, 0</w:t>
      </w:r>
      <w:r>
        <w:rPr>
          <w:bCs/>
        </w:rPr>
        <w:t xml:space="preserve">,</w:t>
      </w:r>
      <w:r>
        <w:rPr>
          <w:bCs/>
        </w:rPr>
        <w:t xml:space="preserve">97% são ou já foram clientes da companhia em algum momento. Em contrapartida, </w:t>
      </w:r>
      <w:r>
        <w:rPr>
          <w:bCs/>
        </w:rPr>
        <w:t xml:space="preserve">juntos, os três condados contabilizam apenas 84 clientes, ou 1</w:t>
      </w:r>
      <w:r>
        <w:rPr>
          <w:bCs/>
        </w:rPr>
        <w:t xml:space="preserve">,</w:t>
      </w:r>
      <w:r>
        <w:rPr>
          <w:bCs/>
        </w:rPr>
        <w:t xml:space="preserve">2% do total d</w:t>
      </w:r>
      <w:r>
        <w:rPr>
          <w:bCs/>
        </w:rPr>
        <w:t xml:space="preserve">e</w:t>
      </w:r>
      <w:r>
        <w:rPr>
          <w:bCs/>
        </w:rPr>
        <w:t xml:space="preserve"> 7.043 consumidores.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9" name="Picture 20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20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3.5pt;height:251.9pt;" stroked="f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1130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19" w:name="_Ref103518427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3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9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Proporção de habitantes, por condado, que foram ou são clientes da companhia</w:t>
      </w:r>
      <w:r>
        <w:rPr>
          <w:i w:val="0"/>
          <w:iCs w:val="0"/>
          <w:color w:val="auto"/>
          <w:sz w:val="22"/>
          <w:szCs w:val="22"/>
        </w:rPr>
        <w:t xml:space="preserve">, com destaque para os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i w:val="0"/>
          <w:iCs w:val="0"/>
          <w:color w:val="auto"/>
          <w:sz w:val="22"/>
          <w:szCs w:val="22"/>
        </w:rPr>
        <w:t xml:space="preserve">condados com maiores e menores representatividades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Del Norte, um dos condados com menor </w:t>
      </w:r>
      <w:r>
        <w:rPr>
          <w:bCs/>
        </w:rPr>
        <w:t xml:space="preserve">participação</w:t>
      </w:r>
      <w:r>
        <w:rPr>
          <w:bCs/>
        </w:rPr>
        <w:t xml:space="preserve"> na carteira de clientes da companhia, </w:t>
      </w:r>
      <w:r>
        <w:rPr>
          <w:bCs/>
        </w:rPr>
        <w:t xml:space="preserve">foi a localidade com o maior índice</w:t>
      </w:r>
      <w:r>
        <w:rPr>
          <w:bCs/>
        </w:rPr>
        <w:t xml:space="preserve"> de </w:t>
      </w:r>
      <w:r>
        <w:rPr>
          <w:bCs/>
          <w:i/>
          <w:iCs/>
        </w:rPr>
        <w:t xml:space="preserve">churn</w:t>
      </w:r>
      <w:r>
        <w:rPr>
          <w:bCs/>
        </w:rPr>
        <w:t xml:space="preserve">, </w:t>
      </w:r>
      <w:r>
        <w:rPr>
          <w:bCs/>
        </w:rPr>
        <w:t xml:space="preserve">como ilustrado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_Ref103518438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4</w:t>
      </w:r>
      <w:r>
        <w:rPr>
          <w:bCs/>
        </w:rPr>
        <w:fldChar w:fldCharType="end"/>
      </w:r>
      <w:r>
        <w:rPr>
          <w:bCs/>
        </w:rPr>
        <w:t xml:space="preserve">, </w:t>
      </w:r>
      <w:r>
        <w:rPr>
          <w:bCs/>
        </w:rPr>
        <w:t xml:space="preserve">enquanto</w:t>
      </w:r>
      <w:r>
        <w:rPr>
          <w:bCs/>
        </w:rPr>
        <w:t xml:space="preserve"> San Diego, o segundo condado </w:t>
      </w:r>
      <w:r>
        <w:rPr>
          <w:bCs/>
        </w:rPr>
        <w:t xml:space="preserve">com a maior quantidade de clientes</w:t>
      </w:r>
      <w:r>
        <w:rPr>
          <w:bCs/>
        </w:rPr>
        <w:t xml:space="preserve">, foi</w:t>
      </w:r>
      <w:r>
        <w:rPr>
          <w:bCs/>
        </w:rPr>
        <w:t xml:space="preserve"> </w:t>
      </w:r>
      <w:r>
        <w:rPr>
          <w:bCs/>
        </w:rPr>
        <w:t xml:space="preserve">também o segundo com maior </w:t>
      </w:r>
      <w:r>
        <w:rPr>
          <w:bCs/>
        </w:rPr>
        <w:t xml:space="preserve">percentual</w:t>
      </w:r>
      <w:r>
        <w:rPr>
          <w:bCs/>
        </w:rPr>
        <w:t xml:space="preserve"> de </w:t>
      </w:r>
      <w:r>
        <w:rPr>
          <w:bCs/>
        </w:rPr>
        <w:t xml:space="preserve">perda de clientes</w:t>
      </w:r>
      <w:r>
        <w:rPr>
          <w:bCs/>
        </w:rPr>
        <w:t xml:space="preserve">, </w:t>
      </w:r>
      <w:r>
        <w:rPr>
          <w:bCs/>
        </w:rPr>
        <w:t xml:space="preserve">seguido </w:t>
      </w:r>
      <w:r>
        <w:rPr>
          <w:bCs/>
        </w:rPr>
        <w:t xml:space="preserve">por</w:t>
      </w:r>
      <w:r>
        <w:rPr>
          <w:bCs/>
        </w:rPr>
        <w:t xml:space="preserve"> </w:t>
      </w:r>
      <w:r>
        <w:rPr>
          <w:bCs/>
        </w:rPr>
        <w:t xml:space="preserve">Stanislaus</w:t>
      </w:r>
      <w:r>
        <w:rPr>
          <w:bCs/>
        </w:rPr>
        <w:t xml:space="preserve">.</w:t>
      </w:r>
      <w:r/>
    </w:p>
    <w:p>
      <w:pPr>
        <w:pStyle w:val="1128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0" name="Picture 22" descr="A picture containing diagram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22" descr="A picture containing diagram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3.5pt;height:251.9pt;" stroked="f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/>
      <w:bookmarkStart w:id="20" w:name="_Ref103518438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4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0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i w:val="0"/>
          <w:iCs w:val="0"/>
          <w:color w:val="auto"/>
          <w:sz w:val="22"/>
          <w:szCs w:val="22"/>
        </w:rPr>
        <w:t xml:space="preserve">Índic</w:t>
      </w:r>
      <w:r>
        <w:rPr>
          <w:i w:val="0"/>
          <w:iCs w:val="0"/>
          <w:color w:val="auto"/>
          <w:sz w:val="22"/>
          <w:szCs w:val="22"/>
        </w:rPr>
        <w:t xml:space="preserve">e</w:t>
      </w:r>
      <w:r>
        <w:rPr>
          <w:i w:val="0"/>
          <w:iCs w:val="0"/>
          <w:color w:val="auto"/>
          <w:sz w:val="22"/>
          <w:szCs w:val="22"/>
        </w:rPr>
        <w:t xml:space="preserve"> de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c</w:t>
      </w:r>
      <w:r>
        <w:rPr>
          <w:color w:val="auto"/>
          <w:sz w:val="22"/>
          <w:szCs w:val="22"/>
        </w:rPr>
        <w:t xml:space="preserve">hurn</w:t>
      </w:r>
      <w:r>
        <w:rPr>
          <w:i w:val="0"/>
          <w:iCs w:val="0"/>
          <w:color w:val="auto"/>
          <w:sz w:val="22"/>
          <w:szCs w:val="22"/>
        </w:rPr>
        <w:t xml:space="preserve"> por condado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Conforme evidenciado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_Ref103518459 \h </w:instrText>
      </w:r>
      <w:r>
        <w:rPr>
          <w:bCs/>
        </w:rPr>
        <w:instrText xml:space="preserve">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5</w:t>
      </w:r>
      <w:r>
        <w:rPr>
          <w:bCs/>
        </w:rPr>
        <w:fldChar w:fldCharType="end"/>
      </w:r>
      <w:r>
        <w:rPr>
          <w:bCs/>
        </w:rPr>
        <w:t xml:space="preserve">, </w:t>
      </w:r>
      <w:r>
        <w:rPr>
          <w:bCs/>
        </w:rPr>
        <w:t xml:space="preserve">mais de 30% dos</w:t>
      </w:r>
      <w:r>
        <w:rPr>
          <w:bCs/>
        </w:rPr>
        <w:t xml:space="preserve"> clientes que cancelaram o serviço,</w:t>
      </w:r>
      <w:r>
        <w:rPr>
          <w:bCs/>
        </w:rPr>
        <w:t xml:space="preserve"> tem a </w:t>
      </w:r>
      <w:r>
        <w:rPr>
          <w:bCs/>
        </w:rPr>
        <w:t xml:space="preserve">residência principal </w:t>
      </w:r>
      <w:r>
        <w:rPr>
          <w:bCs/>
        </w:rPr>
        <w:t xml:space="preserve">localizada </w:t>
      </w:r>
      <w:r>
        <w:rPr>
          <w:bCs/>
        </w:rPr>
        <w:t xml:space="preserve">nos condados de Los Angeles e San Diego, </w:t>
      </w:r>
      <w:r>
        <w:rPr>
          <w:bCs/>
        </w:rPr>
        <w:t xml:space="preserve">situados</w:t>
      </w:r>
      <w:r>
        <w:rPr>
          <w:bCs/>
        </w:rPr>
        <w:t xml:space="preserve"> ao sul do estado da Calif</w:t>
      </w:r>
      <w:r>
        <w:rPr>
          <w:bCs/>
        </w:rPr>
        <w:t xml:space="preserve">ó</w:t>
      </w:r>
      <w:r>
        <w:rPr>
          <w:bCs/>
        </w:rPr>
        <w:t xml:space="preserve">rnia.</w:t>
      </w:r>
      <w:r/>
    </w:p>
    <w:p>
      <w:pPr>
        <w:pStyle w:val="1128"/>
        <w:ind w:left="0"/>
        <w:keepNext/>
        <w:spacing w:line="360" w:lineRule="auto"/>
      </w:pPr>
      <w:r/>
      <w:r/>
    </w:p>
    <w:p>
      <w:pPr>
        <w:pStyle w:val="1128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1" name="Picture 23" descr="Diagram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23" descr="Diagram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3.5pt;height:251.9pt;" stroked="f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1130"/>
        <w:spacing w:after="0"/>
        <w:rPr>
          <w:bCs/>
          <w:i w:val="0"/>
          <w:iCs w:val="0"/>
          <w:color w:val="auto"/>
          <w:sz w:val="22"/>
          <w:szCs w:val="22"/>
        </w:rPr>
      </w:pPr>
      <w:r/>
      <w:bookmarkStart w:id="21" w:name="_Ref103518459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5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1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do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condado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/>
        </w:rPr>
      </w:pPr>
      <w:r>
        <w:rPr>
          <w:b/>
        </w:rPr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Detectou-se também a </w:t>
      </w:r>
      <w:r>
        <w:rPr>
          <w:bCs/>
        </w:rPr>
        <w:t xml:space="preserve">existência de um cinturão geográfico, localizado</w:t>
      </w:r>
      <w:r>
        <w:rPr>
          <w:bCs/>
        </w:rPr>
        <w:t xml:space="preserve"> majoritariamente</w:t>
      </w:r>
      <w:r>
        <w:rPr>
          <w:bCs/>
        </w:rPr>
        <w:t xml:space="preserve"> ao norte, em que a razão mais recorrente de </w:t>
      </w:r>
      <w:r>
        <w:rPr>
          <w:bCs/>
          <w:i/>
          <w:iCs/>
        </w:rPr>
        <w:t xml:space="preserve">churn</w:t>
      </w:r>
      <w:r>
        <w:rPr>
          <w:bCs/>
        </w:rPr>
        <w:t xml:space="preserve"> </w:t>
      </w:r>
      <w:r>
        <w:rPr>
          <w:bCs/>
        </w:rPr>
        <w:t xml:space="preserve">está relacionada à insatisfação com o serviço prestado pela companhia</w:t>
      </w:r>
      <w:r>
        <w:rPr>
          <w:bCs/>
        </w:rPr>
        <w:t xml:space="preserve">, conforme apresentado na </w:t>
      </w:r>
      <w:r>
        <w:rPr>
          <w:bCs/>
        </w:rPr>
        <w:fldChar w:fldCharType="begin"/>
      </w:r>
      <w:r>
        <w:rPr>
          <w:bCs/>
        </w:rPr>
        <w:instrText xml:space="preserve"> REF _Ref103518485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6</w:t>
      </w:r>
      <w:r>
        <w:rPr>
          <w:bCs/>
        </w:rPr>
        <w:fldChar w:fldCharType="end"/>
      </w:r>
      <w:r>
        <w:rPr>
          <w:bCs/>
        </w:rPr>
        <w:t xml:space="preserve">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2" name="Picture 3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3.5pt;height:251.9pt;" stroked="f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1130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22" w:name="_Ref103518485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6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2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Motivos mais frequentes de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condado</w:t>
      </w:r>
      <w:r/>
    </w:p>
    <w:p>
      <w:pPr>
        <w:pStyle w:val="1128"/>
        <w:ind w:left="0"/>
        <w:spacing w:line="240" w:lineRule="auto"/>
        <w:rPr>
          <w:b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spacing w:line="360" w:lineRule="auto"/>
        <w:rPr>
          <w:bCs/>
        </w:rPr>
      </w:pPr>
      <w:r>
        <w:rPr>
          <w:bCs/>
        </w:rPr>
        <w:tab/>
        <w:t xml:space="preserve">T</w:t>
      </w:r>
      <w:r>
        <w:rPr>
          <w:bCs/>
        </w:rPr>
        <w:t xml:space="preserve">erminada a análise espacial, calculou-se as correlações entre as variáveis dependentes numéricas, onde foi identificado que as três maiores correlações positivas acontecem </w:t>
      </w:r>
      <w:r>
        <w:rPr>
          <w:bCs/>
        </w:rPr>
        <w:t xml:space="preserve">com quatro </w:t>
      </w:r>
      <w:r>
        <w:rPr>
          <w:bCs/>
        </w:rPr>
        <w:t xml:space="preserve">variáveis relacionadas ao valor das cobranças</w:t>
      </w:r>
      <w:r>
        <w:rPr>
          <w:bCs/>
        </w:rPr>
        <w:t xml:space="preserve">, das quais duas foram construídas no processo de </w:t>
      </w:r>
      <w:r>
        <w:rPr>
          <w:bCs/>
          <w:i/>
          <w:iCs/>
        </w:rPr>
        <w:t xml:space="preserve">feature</w:t>
      </w:r>
      <w:r>
        <w:rPr>
          <w:bCs/>
          <w:i/>
          <w:iCs/>
        </w:rPr>
        <w:t xml:space="preserve"> </w:t>
      </w:r>
      <w:r>
        <w:rPr>
          <w:bCs/>
          <w:i/>
          <w:iCs/>
        </w:rPr>
        <w:t xml:space="preserve">engineering</w:t>
      </w:r>
      <w:r>
        <w:rPr>
          <w:bCs/>
        </w:rPr>
        <w:t xml:space="preserve">.</w:t>
      </w:r>
      <w:r>
        <w:rPr>
          <w:bCs/>
        </w:rPr>
        <w:t xml:space="preserve"> Conforme apresentado na Tabela 7, d</w:t>
      </w:r>
      <w:r>
        <w:rPr>
          <w:bCs/>
        </w:rPr>
        <w:t xml:space="preserve">etectou-se </w:t>
      </w:r>
      <w:r>
        <w:rPr>
          <w:bCs/>
        </w:rPr>
        <w:t xml:space="preserve">correlação perfeita entre </w:t>
      </w:r>
      <w:r>
        <w:rPr>
          <w:bCs/>
        </w:rPr>
        <w:t xml:space="preserve">os v</w:t>
      </w:r>
      <w:r>
        <w:rPr>
          <w:bCs/>
        </w:rPr>
        <w:t xml:space="preserve">alores</w:t>
      </w:r>
      <w:r>
        <w:rPr>
          <w:bCs/>
        </w:rPr>
        <w:t xml:space="preserve"> extras </w:t>
      </w:r>
      <w:r>
        <w:rPr>
          <w:bCs/>
        </w:rPr>
        <w:t xml:space="preserve">cobrados por chamadas de longa distância e downloads de dados,</w:t>
      </w:r>
      <w:r>
        <w:rPr>
          <w:bCs/>
        </w:rPr>
        <w:t xml:space="preserve"> e o valor das c</w:t>
      </w:r>
      <w:r>
        <w:rPr>
          <w:bCs/>
        </w:rPr>
        <w:t xml:space="preserve">obranças </w:t>
      </w:r>
      <w:r>
        <w:rPr>
          <w:bCs/>
        </w:rPr>
        <w:t xml:space="preserve">adicionais </w:t>
      </w:r>
      <w:r>
        <w:rPr>
          <w:bCs/>
        </w:rPr>
        <w:t xml:space="preserve">por chamadas de longa distância</w:t>
      </w:r>
      <w:r>
        <w:rPr>
          <w:bCs/>
        </w:rPr>
        <w:t xml:space="preserve">, uma vez que o segundo está contido no primeiro.</w:t>
      </w:r>
      <w:r/>
    </w:p>
    <w:p>
      <w:pPr>
        <w:spacing w:line="360" w:lineRule="auto"/>
      </w:pPr>
      <w:r>
        <w:rPr>
          <w:bCs/>
        </w:rPr>
        <w:tab/>
        <w:t xml:space="preserve">Tanto as cobranças totais como o tempo de casa do cliente, possuem elevada correlação positiva com o valor da</w:t>
      </w:r>
      <w:r>
        <w:rPr>
          <w:bCs/>
        </w:rPr>
        <w:t xml:space="preserve">s c</w:t>
      </w:r>
      <w:r>
        <w:rPr>
          <w:bCs/>
        </w:rPr>
        <w:t xml:space="preserve">obranças gerais, </w:t>
      </w:r>
      <w:r>
        <w:rPr>
          <w:bCs/>
        </w:rPr>
        <w:t xml:space="preserve">representado no </w:t>
      </w:r>
      <w:r>
        <w:rPr>
          <w:bCs/>
          <w:i/>
        </w:rPr>
        <w:t xml:space="preserve">dataset </w:t>
      </w:r>
      <w:r>
        <w:rPr>
          <w:bCs/>
        </w:rPr>
        <w:t xml:space="preserve">pela</w:t>
      </w:r>
      <w:r>
        <w:rPr>
          <w:bCs/>
        </w:rPr>
        <w:t xml:space="preserve"> variável “</w:t>
      </w:r>
      <w:r>
        <w:rPr>
          <w:bCs/>
        </w:rPr>
        <w:t xml:space="preserve">valor_cobranca_geral</w:t>
      </w:r>
      <w:r>
        <w:rPr>
          <w:bCs/>
        </w:rPr>
        <w:t xml:space="preserve">”</w:t>
      </w:r>
      <w:r>
        <w:rPr>
          <w:bCs/>
        </w:rPr>
        <w:t xml:space="preserve">, apontando a princípio que, logicamente que os valores cobrados incluindo ou não as despesas extras, seguem a mesma direção, de modo que o movimento ascendente de um está relacionado ao movimento ao movimente ascendente do outro, e vice-versa. </w:t>
      </w:r>
      <w:r>
        <w:rPr>
          <w:bCs/>
        </w:rPr>
        <w:t xml:space="preserve">De modo semelhante,</w:t>
      </w:r>
      <w:r>
        <w:rPr>
          <w:bCs/>
        </w:rPr>
        <w:t xml:space="preserve"> o prolongamento do tempo de relacionamento do cliente com a companhia está vinculado a maiores cobranças gerais. Ambas correlações são superiores a 0.8, e figuram no ranking das três correlações de maior magnitude.</w:t>
      </w:r>
      <w:r/>
    </w:p>
    <w:p>
      <w:pPr>
        <w:spacing w:line="360" w:lineRule="auto"/>
        <w:rPr>
          <w:rFonts w:eastAsia="Times New Roman"/>
          <w:color w:val="000000"/>
          <w:highlight w:val="none"/>
          <w:lang w:eastAsia="pt-BR"/>
        </w:rPr>
      </w:pPr>
      <w:r>
        <w:rPr>
          <w:rFonts w:eastAsia="Times New Roman"/>
          <w:color w:val="000000"/>
          <w:lang w:eastAsia="pt-BR"/>
        </w:rPr>
        <w:tab/>
        <w:t xml:space="preserve">Segundo apresentado na Tabela 7, </w:t>
      </w:r>
      <w:r>
        <w:rPr>
          <w:rFonts w:eastAsia="Times New Roman"/>
          <w:color w:val="000000"/>
          <w:lang w:eastAsia="pt-BR"/>
        </w:rPr>
        <w:t xml:space="preserve">da</w:t>
      </w:r>
      <w:r>
        <w:rPr>
          <w:rFonts w:eastAsia="Times New Roman"/>
          <w:color w:val="000000"/>
          <w:lang w:eastAsia="pt-BR"/>
        </w:rPr>
        <w:t xml:space="preserve">s</w:t>
      </w:r>
      <w:r>
        <w:rPr>
          <w:rFonts w:eastAsia="Times New Roman"/>
          <w:color w:val="000000"/>
          <w:lang w:eastAsia="pt-BR"/>
        </w:rPr>
        <w:t xml:space="preserve"> dez maiores correlações em valor absoluto,</w:t>
      </w:r>
      <w:r>
        <w:rPr>
          <w:rFonts w:eastAsia="Times New Roman"/>
          <w:color w:val="000000"/>
          <w:lang w:eastAsia="pt-BR"/>
        </w:rPr>
        <w:t xml:space="preserve"> apenas uma é negativa, e ocorre entre </w:t>
      </w:r>
      <w:r>
        <w:rPr>
          <w:rFonts w:eastAsia="Times New Roman"/>
          <w:color w:val="000000"/>
          <w:lang w:eastAsia="pt-BR"/>
        </w:rPr>
        <w:t xml:space="preserve"> o percentual de </w:t>
      </w:r>
      <w:r>
        <w:rPr>
          <w:rFonts w:eastAsia="Times New Roman"/>
          <w:color w:val="000000"/>
          <w:lang w:eastAsia="pt-BR"/>
        </w:rPr>
        <w:t xml:space="preserve">pessoas </w:t>
      </w:r>
      <w:r>
        <w:rPr>
          <w:rFonts w:eastAsia="Times New Roman"/>
          <w:color w:val="000000"/>
          <w:lang w:eastAsia="pt-BR"/>
        </w:rPr>
        <w:t xml:space="preserve">com idade inferior a 18 anos, e a idade mediana dos habitantes do condado</w:t>
      </w:r>
      <w:r>
        <w:rPr>
          <w:rFonts w:eastAsia="Times New Roman"/>
          <w:color w:val="000000"/>
          <w:lang w:eastAsia="pt-BR"/>
        </w:rPr>
        <w:t xml:space="preserve">, indicando que nos condados, </w:t>
      </w:r>
      <w:r>
        <w:rPr>
          <w:rFonts w:eastAsia="Times New Roman"/>
          <w:color w:val="000000"/>
          <w:lang w:eastAsia="pt-BR"/>
        </w:rPr>
        <w:t xml:space="preserve">conforme a </w:t>
      </w:r>
      <w:r>
        <w:rPr>
          <w:rFonts w:eastAsia="Times New Roman"/>
          <w:color w:val="000000"/>
          <w:lang w:eastAsia="pt-BR"/>
        </w:rPr>
        <w:t xml:space="preserve">proporç</w:t>
      </w:r>
      <w:r>
        <w:rPr>
          <w:rFonts w:eastAsia="Times New Roman"/>
          <w:color w:val="000000"/>
          <w:lang w:eastAsia="pt-BR"/>
        </w:rPr>
        <w:t xml:space="preserve">ão</w:t>
      </w:r>
      <w:r>
        <w:rPr>
          <w:rFonts w:eastAsia="Times New Roman"/>
          <w:color w:val="000000"/>
          <w:lang w:eastAsia="pt-BR"/>
        </w:rPr>
        <w:t xml:space="preserve"> de indivíduos menores de idade</w:t>
      </w:r>
      <w:r>
        <w:rPr>
          <w:rFonts w:eastAsia="Times New Roman"/>
          <w:color w:val="000000"/>
          <w:lang w:eastAsia="pt-BR"/>
        </w:rPr>
        <w:t xml:space="preserve"> aumenta,</w:t>
      </w:r>
      <w:r>
        <w:rPr>
          <w:rFonts w:eastAsia="Times New Roman"/>
          <w:color w:val="000000"/>
          <w:lang w:eastAsia="pt-BR"/>
        </w:rPr>
        <w:t xml:space="preserve"> </w:t>
      </w:r>
      <w:r>
        <w:rPr>
          <w:rFonts w:eastAsia="Times New Roman"/>
          <w:color w:val="000000"/>
          <w:lang w:eastAsia="pt-BR"/>
        </w:rPr>
        <w:t xml:space="preserve">a idade mediana dos habitantes naturalmente reduz, e vice-versa.</w:t>
      </w:r>
      <w:r>
        <w:rPr>
          <w:rFonts w:eastAsia="Times New Roman"/>
          <w:color w:val="000000"/>
          <w:lang w:eastAsia="pt-BR"/>
        </w:rPr>
      </w:r>
      <w:r/>
    </w:p>
    <w:p>
      <w:pPr>
        <w:spacing w:line="360" w:lineRule="auto"/>
        <w:rPr>
          <w:rFonts w:eastAsia="Times New Roman"/>
          <w:color w:val="000000"/>
          <w:lang w:eastAsia="pt-BR"/>
        </w:rPr>
      </w:pPr>
      <w:r>
        <w:rPr>
          <w:rFonts w:eastAsia="Times New Roman"/>
          <w:color w:val="000000"/>
          <w:highlight w:val="none"/>
          <w:lang w:eastAsia="pt-BR"/>
        </w:rPr>
      </w:r>
      <w:r>
        <w:rPr>
          <w:rFonts w:eastAsia="Times New Roman"/>
          <w:color w:val="000000"/>
          <w:highlight w:val="none"/>
          <w:lang w:eastAsia="pt-BR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23" w:name="_Ref113222653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7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3"/>
      <w:r>
        <w:rPr>
          <w:i w:val="0"/>
          <w:iCs w:val="0"/>
          <w:color w:val="auto"/>
          <w:sz w:val="22"/>
          <w:szCs w:val="22"/>
        </w:rPr>
        <w:t xml:space="preserve">. Dez maiores correlações</w:t>
      </w:r>
      <w:r>
        <w:rPr>
          <w:i w:val="0"/>
          <w:iCs w:val="0"/>
          <w:color w:val="auto"/>
          <w:sz w:val="22"/>
          <w:szCs w:val="22"/>
        </w:rPr>
        <w:t xml:space="preserve">, em valor absoluto,</w:t>
      </w:r>
      <w:r>
        <w:rPr>
          <w:i w:val="0"/>
          <w:iCs w:val="0"/>
          <w:color w:val="auto"/>
          <w:sz w:val="22"/>
          <w:szCs w:val="22"/>
        </w:rPr>
        <w:t xml:space="preserve"> entre variáveis </w:t>
      </w:r>
      <w:r>
        <w:rPr>
          <w:i w:val="0"/>
          <w:iCs w:val="0"/>
          <w:color w:val="auto"/>
          <w:sz w:val="22"/>
          <w:szCs w:val="22"/>
        </w:rPr>
        <w:t xml:space="preserve">preditoras numéricas</w:t>
      </w:r>
      <w:r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0"/>
        <w:gridCol w:w="3545"/>
        <w:gridCol w:w="1415"/>
      </w:tblGrid>
      <w:tr>
        <w:trPr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266" w:type="pct"/>
            <w:vAlign w:val="bottom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1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954" w:type="pct"/>
            <w:vAlign w:val="bottom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2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80" w:type="pct"/>
            <w:vAlign w:val="bottom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Correlação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0,972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tenure_in_months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0,853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qtd_servicos_principais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0,836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tenure_in_months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0,826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0,780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0,779</w:t>
            </w:r>
            <w:r/>
          </w:p>
        </w:tc>
      </w:tr>
      <w:tr>
        <w:trPr>
          <w:trHeight w:val="56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0,745</w:t>
            </w:r>
            <w:r/>
          </w:p>
        </w:tc>
      </w:tr>
      <w:tr>
        <w:trPr>
          <w:trHeight w:val="56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condado_tx_habitantes_menor_18_anos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condado_idade_mediana_habitantes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-0,723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qtd_streamings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0,695</w:t>
            </w:r>
            <w:r/>
          </w:p>
        </w:tc>
      </w:tr>
    </w:tbl>
    <w:p>
      <w:pPr>
        <w:spacing w:line="360" w:lineRule="auto"/>
        <w:rPr>
          <w:bCs/>
        </w:rPr>
      </w:pPr>
      <w:r>
        <w:rPr>
          <w:bCs/>
        </w:rPr>
        <w:t xml:space="preserve">F</w:t>
      </w:r>
      <w:r>
        <w:rPr>
          <w:bCs/>
        </w:rPr>
        <w:t xml:space="preserve">onte: </w:t>
      </w:r>
      <w:r>
        <w:rPr>
          <w:bCs/>
        </w:rPr>
        <w:t xml:space="preserve">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ind w:firstLine="708"/>
        <w:spacing w:line="360" w:lineRule="auto"/>
        <w:rPr>
          <w:bCs/>
        </w:rPr>
      </w:pPr>
      <w:r>
        <w:rPr>
          <w:bCs/>
        </w:rPr>
      </w:r>
      <w:r>
        <w:rPr>
          <w:bCs/>
        </w:rPr>
        <w:t xml:space="preserve">Ao passar pelo processo de enriquecimento com variáveis geográficas d</w:t>
      </w:r>
      <w:r>
        <w:rPr>
          <w:bCs/>
          <w:highlight w:val="none"/>
        </w:rPr>
        <w:t xml:space="preserve">o </w:t>
      </w:r>
      <w:r>
        <w:rPr>
          <w:color w:val="000000"/>
          <w:highlight w:val="none"/>
        </w:rPr>
        <w:t xml:space="preserve">USCB</w:t>
      </w:r>
      <w:r>
        <w:rPr>
          <w:color w:val="000000"/>
          <w:highlight w:val="none"/>
        </w:rPr>
        <w:t xml:space="preserve"> (</w:t>
      </w:r>
      <w:r>
        <w:rPr>
          <w:color w:val="000000"/>
          <w:highlight w:val="none"/>
        </w:rPr>
        <w:t xml:space="preserve">2022)</w:t>
      </w:r>
      <w:r>
        <w:rPr>
          <w:bCs/>
          <w:highlight w:val="none"/>
        </w:rPr>
        <w:t xml:space="preserve">,</w:t>
      </w:r>
      <w:r>
        <w:rPr>
          <w:bCs/>
        </w:rPr>
        <w:t xml:space="preserve"> o</w:t>
      </w:r>
      <w:r>
        <w:rPr>
          <w:bCs/>
        </w:rPr>
        <w:t xml:space="preserve"> </w:t>
      </w:r>
      <w:r>
        <w:rPr>
          <w:bCs/>
          <w:i/>
        </w:rPr>
        <w:t xml:space="preserve">dataset</w:t>
      </w:r>
      <w:r>
        <w:rPr>
          <w:bCs/>
        </w:rPr>
        <w:t xml:space="preserve">, composto por clientes com residência em 1.626 </w:t>
      </w:r>
      <w:r>
        <w:rPr>
          <w:bCs/>
        </w:rPr>
        <w:t xml:space="preserve">ceps</w:t>
      </w:r>
      <w:r>
        <w:rPr>
          <w:bCs/>
        </w:rPr>
        <w:t xml:space="preserve"> distintos, passou a ter colunas com v</w:t>
      </w:r>
      <w:r>
        <w:rPr>
          <w:bCs/>
        </w:rPr>
        <w:t xml:space="preserve">alores faltantes, segundo apresentado na Tabela 8. Devido o impacto da ausência de conteúdo em alguns algoritmos de modelagem, que </w:t>
      </w:r>
      <w:r>
        <w:rPr>
          <w:bCs/>
        </w:rPr>
        <w:t xml:space="preserve">na etapa de treinamento </w:t>
      </w:r>
      <w:r>
        <w:rPr>
          <w:bCs/>
        </w:rPr>
        <w:t xml:space="preserve">eventualmente omitem observações com valores faltantes</w:t>
      </w:r>
      <w:r>
        <w:t xml:space="preserve">, e a acentuada granularidade da variável “zip_code”, </w:t>
      </w:r>
      <w:r>
        <w:rPr>
          <w:bCs/>
        </w:rPr>
        <w:t xml:space="preserve">optou-se por não utilizar </w:t>
      </w:r>
      <w:r>
        <w:rPr>
          <w:bCs/>
        </w:rPr>
        <w:t xml:space="preserve">na modelagem estatística, </w:t>
      </w:r>
      <w:r>
        <w:rPr>
          <w:bCs/>
        </w:rPr>
        <w:t xml:space="preserve">as variáveis com dados de cep.</w:t>
      </w:r>
      <w:r>
        <w:rPr>
          <w:bCs/>
        </w:rPr>
      </w:r>
      <w:r/>
    </w:p>
    <w:p>
      <w:pPr>
        <w:ind w:firstLine="708"/>
        <w:spacing w:line="360" w:lineRule="auto"/>
      </w:pPr>
      <w:r>
        <w:rPr>
          <w:bCs/>
        </w:rPr>
      </w:r>
      <w:r>
        <w:rPr>
          <w:bCs/>
        </w:rPr>
        <w:t xml:space="preserve">Seguindo o mesmo raciocínio, </w:t>
      </w:r>
      <w:r>
        <w:rPr>
          <w:bCs/>
        </w:rPr>
        <w:t xml:space="preserve">as</w:t>
      </w:r>
      <w:r>
        <w:rPr>
          <w:bCs/>
        </w:rPr>
        <w:t xml:space="preserve"> colunas com dados geográficos das cidades nas quais estão localizadas as residências dos clientes, também foram excluídas da modelagem.</w:t>
      </w:r>
      <w:r>
        <w:rPr>
          <w:bCs/>
        </w:rPr>
        <w:t xml:space="preserve"> </w:t>
      </w:r>
      <w:r>
        <w:rPr>
          <w:bCs/>
        </w:rPr>
        <w:t xml:space="preserve">Mantiveram-se, entretanto, as variáveis com dados geográficos dos 58 condados nos quais a firma presta serviço</w:t>
      </w:r>
      <w:r>
        <w:rPr>
          <w:bCs/>
        </w:rPr>
        <w:t xml:space="preserve">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30"/>
        <w:ind w:left="1418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8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Número de observações para as quais dados geográficos de cep estão faltando</w:t>
      </w:r>
      <w:r/>
    </w:p>
    <w:tbl>
      <w:tblPr>
        <w:tblW w:w="635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99"/>
        <w:gridCol w:w="2060"/>
      </w:tblGrid>
      <w:tr>
        <w:trPr>
          <w:jc w:val="center"/>
          <w:trHeight w:val="84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299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06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Quantidade de observações com dados faltantes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zip_code_renda_familiar_mediana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428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zip_code_indice_gini_desigualdade_renda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zip_code_idade_mediana_habitantes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zip_code_tx_habitantes_homens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zip_code_tx_habitantes_menor_18_anos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20</w:t>
            </w:r>
            <w:r/>
          </w:p>
        </w:tc>
      </w:tr>
    </w:tbl>
    <w:p>
      <w:pPr>
        <w:ind w:left="1418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>
        <w:rPr>
          <w:bCs/>
        </w:rPr>
      </w:r>
      <w:r>
        <w:rPr>
          <w:bCs/>
        </w:rPr>
      </w:r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Além destas, foram removidas do processo de modelagem </w:t>
      </w:r>
      <w:r>
        <w:rPr>
          <w:bCs/>
        </w:rPr>
        <w:t xml:space="preserve">outras seis variáveis, sendo elas </w:t>
      </w:r>
      <w:r>
        <w:rPr>
          <w:bCs/>
        </w:rPr>
        <w:t xml:space="preserve">“customer_id”; “latitude”; “longitude”; “customer_status”; “churn_category” e “churn_reason”</w:t>
      </w:r>
      <w:r>
        <w:rPr>
          <w:bCs/>
        </w:rPr>
        <w:t xml:space="preserve">, </w:t>
      </w:r>
      <w:r>
        <w:rPr>
          <w:bCs/>
        </w:rPr>
        <w:t xml:space="preserve">as quais, de acordo com o conhecimento prévio do negócio, são incapazes de contribuir para explicar o fenômeno em análise, ou são desdobramentos da variável resposta, como é o caso das três últimas colunas supracitadas.</w:t>
      </w:r>
      <w:r>
        <w:rPr>
          <w:bCs/>
          <w:highlight w:val="none"/>
        </w:rPr>
      </w:r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Inicialmente treinou-se o modelo </w:t>
      </w:r>
      <w:r>
        <w:rPr>
          <w:bCs/>
        </w:rPr>
        <w:t xml:space="preserve">clássico </w:t>
      </w:r>
      <w:r>
        <w:rPr>
          <w:bCs/>
        </w:rPr>
        <w:t xml:space="preserve">de regressão logística com todas as variáveis manualmente escolhidas, e posteriormente aplicou-se o procedimento de seleção gradual de variáveis</w:t>
      </w:r>
      <w:r>
        <w:rPr>
          <w:bCs/>
        </w:rPr>
        <w:t xml:space="preserve">, com diferentes critérios, incluindo gradativamente no modelo, apenas variáveis que contribuíssem para a redução do AIC (Akaike Information Criterion)</w:t>
      </w:r>
      <w:r>
        <w:rPr>
          <w:bCs/>
        </w:rPr>
        <w:t xml:space="preserve">. A</w:t>
      </w:r>
      <w:r>
        <w:rPr>
          <w:bCs/>
        </w:rPr>
        <w:t xml:space="preserve"> finalidade desse procedimento foi obter um modelo com maior capacidade preditiva, uma vez que de acordo com </w:t>
      </w:r>
      <w:r>
        <w:t xml:space="preserve">James </w:t>
      </w:r>
      <w:r>
        <w:t xml:space="preserve">e colaboradores</w:t>
      </w:r>
      <w:r>
        <w:t xml:space="preserve"> (2021)</w:t>
      </w:r>
      <w:r>
        <w:rPr>
          <w:bCs/>
        </w:rPr>
        <w:t xml:space="preserve">,</w:t>
      </w:r>
      <w:r>
        <w:t xml:space="preserve"> </w:t>
      </w:r>
      <w:r>
        <w:rPr>
          <w:bCs/>
        </w:rPr>
        <w:t xml:space="preserve">excluir variáv</w:t>
      </w:r>
      <w:r>
        <w:rPr>
          <w:bCs/>
        </w:rPr>
        <w:t xml:space="preserve">eis que não ajudam a prever o evento de interesse, reduz a taxa de erro nos dados de teste.</w:t>
      </w:r>
      <w:r>
        <w:rPr>
          <w:bCs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Na Figura 8, observa-se que na direção regressiva, o modelo iniciou completo, com todas as variáveis disponíveis para treinamento, e a quantidade de variáveis reduziu a cada uma das 66 iterações, tendo iniciado com um total de 115, e terminado </w:t>
      </w:r>
      <w:r>
        <w:rPr>
          <w:highlight w:val="none"/>
        </w:rPr>
        <w:t xml:space="preserve">com 50 variáveis dependentes. Nas abordagens progressiva e bidirecional, o modelo iniciou vazio, sem nenhuma variável preditora, e o número de variáveis dependentes ampliou-se de igual modo até a vigésima-quinta iteração.</w:t>
      </w:r>
      <w:r/>
    </w:p>
    <w:p>
      <w:pPr>
        <w:ind w:left="0" w:firstLine="708"/>
        <w:spacing w:line="360" w:lineRule="auto"/>
      </w:pPr>
      <w:r>
        <w:rPr>
          <w:highlight w:val="none"/>
        </w:rPr>
        <w:t xml:space="preserve">Na vigésima-sexta iteração, a estratégia progressiva inseriu uma nova variável, e de modo antagônico, o critério bidirecional excluiu uma </w:t>
      </w:r>
      <w:r>
        <w:rPr>
          <w:highlight w:val="none"/>
        </w:rPr>
        <w:t xml:space="preserve">variável do modelo. Outra ruptura de padrão deu-se na trigésima-quarta iteração, na qual uma nova variável foi excluída pelo critério de seleção bidirecional. Ressalta-se que na estratégia progressiva, o número de variáveis aumentou a cada iteração.</w:t>
      </w:r>
      <w:r>
        <w:rPr>
          <w:highlight w:val="none"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69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109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59449" cy="319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3.5pt;height:251.9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8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Quantidade de variáveis selecionadas, </w:t>
      </w:r>
      <w:r>
        <w:rPr>
          <w:i w:val="0"/>
          <w:iCs w:val="0"/>
          <w:color w:val="auto"/>
          <w:sz w:val="22"/>
          <w:szCs w:val="22"/>
        </w:rPr>
        <w:t xml:space="preserve">em</w:t>
      </w:r>
      <w:r>
        <w:rPr>
          <w:i w:val="0"/>
          <w:iCs w:val="0"/>
          <w:color w:val="auto"/>
          <w:sz w:val="22"/>
          <w:szCs w:val="22"/>
        </w:rPr>
        <w:t xml:space="preserve"> cada iteração do procedimento de seleção gradual de variáveis</w:t>
      </w:r>
      <w:r>
        <w:rPr>
          <w:i w:val="0"/>
          <w:iCs w:val="0"/>
          <w:color w:val="auto"/>
          <w:sz w:val="22"/>
          <w:szCs w:val="22"/>
        </w:rPr>
        <w:t xml:space="preserve">, de acordo com a direção escolhida</w:t>
      </w:r>
      <w:r/>
    </w:p>
    <w:p>
      <w:pPr>
        <w:spacing w:line="240" w:lineRule="auto"/>
      </w:pPr>
      <w: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>
        <w:rPr>
          <w:b/>
        </w:rPr>
      </w:r>
      <w:r/>
    </w:p>
    <w:p>
      <w:pPr>
        <w:ind w:firstLine="708"/>
        <w:spacing w:line="360" w:lineRule="auto"/>
        <w:rPr>
          <w:b w:val="0"/>
        </w:rPr>
      </w:pPr>
      <w:r>
        <w:rPr>
          <w:b w:val="0"/>
        </w:rPr>
      </w:r>
      <w:r>
        <w:rPr>
          <w:b w:val="0"/>
        </w:rPr>
        <w:t xml:space="preserve">A cada iteração, o AIC do modelo foi reduzido, o qual atingiu um valor mínimo ao final do processo. Conforme ilustrado na Figura 9, o AIC inicial dos modelos estimados pelas estratégias progressiva e bidirecional, manteve-se idêntico até a vigésima-</w:t>
      </w:r>
      <w:r>
        <w:rPr>
          <w:b w:val="0"/>
        </w:rPr>
        <w:t xml:space="preserve">quinta iteração, sendo que na iteração seguinte, o modelo resultante da abordagem progressiva teve pequena degradação do AIC, a qual é visualmente imperceptível ao analisar a Figura 9. A desigualdade se manteve</w:t>
      </w:r>
      <w:r>
        <w:rPr>
          <w:b w:val="0"/>
        </w:rPr>
        <w:t xml:space="preserve"> mínima ao longo de todas as iterações.</w:t>
      </w:r>
      <w:r>
        <w:rPr>
          <w:b w:val="0"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69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23398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59449" cy="319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3.5pt;height:251.9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9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Redução do AIC</w:t>
      </w:r>
      <w:r>
        <w:rPr>
          <w:i w:val="0"/>
          <w:iCs w:val="0"/>
          <w:color w:val="auto"/>
          <w:sz w:val="22"/>
          <w:szCs w:val="22"/>
        </w:rPr>
        <w:t xml:space="preserve">, a cada iteração do procedimento de seleção gradual de variáveis, de acordo com a direção escolhida</w:t>
      </w:r>
      <w:r/>
    </w:p>
    <w:p>
      <w: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>
        <w:rPr>
          <w:b/>
        </w:rPr>
      </w:r>
      <w:r/>
    </w:p>
    <w:p>
      <w:pPr>
        <w:ind w:firstLine="708"/>
        <w:spacing w:line="360" w:lineRule="auto"/>
        <w:rPr>
          <w:b/>
          <w:color w:val="000000"/>
          <w:highlight w:val="magenta"/>
        </w:rPr>
      </w:pPr>
      <w:r>
        <w:rPr>
          <w:b w:val="0"/>
          <w:color w:val="000000" w:themeColor="text1"/>
          <w:highlight w:val="none"/>
        </w:rPr>
        <w:t xml:space="preserve">De acordo com a Tabela 9, d</w:t>
      </w:r>
      <w:r>
        <w:rPr>
          <w:b w:val="0"/>
          <w:color w:val="000000" w:themeColor="text1"/>
          <w:highlight w:val="none"/>
        </w:rPr>
        <w:t xml:space="preserve">as três estratégias, a bidirecional resultou no modelo mais performático, alcançando um AIC de </w:t>
      </w:r>
      <w:r>
        <w:rPr>
          <w:b w:val="0"/>
          <w:color w:val="000000" w:themeColor="text1"/>
          <w:highlight w:val="none"/>
        </w:rPr>
        <w:t xml:space="preserve">836,78, com um total de 30 variáveis preditoras</w:t>
      </w:r>
      <w:r>
        <w:rPr>
          <w:b w:val="0"/>
          <w:color w:val="000000" w:themeColor="text1"/>
          <w:highlight w:val="none"/>
        </w:rPr>
        <w:t xml:space="preserve">, ao final de 35 iterações. A quantidade de iterações na estratégia progressiva foi idêntica, a qual estimou um modelo final com quatro variáveis preditoras a ma</w:t>
      </w:r>
      <w:r>
        <w:rPr>
          <w:b w:val="0"/>
          <w:color w:val="000000" w:themeColor="text1"/>
          <w:highlight w:val="none"/>
        </w:rPr>
        <w:t xml:space="preserve">is, e AIC superior em 1.93 unidades ao do melhor modelo. O critério de seleção regressiva resultou no modelo menos performático, com o maior número de variáveis dependentes, 20 a mais que o melhor modelo, e AIC igual a 852,35.</w:t>
      </w:r>
      <w:r>
        <w:rPr>
          <w:color w:val="000000" w:themeColor="text1"/>
          <w:highlight w:val="none"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pStyle w:val="1130"/>
        <w:ind w:left="1701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9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Resumo das reduções de AIC, no treinamento dos modelos de regressão logística, com diferentes critérios de seleção gradual</w:t>
      </w:r>
      <w:r/>
    </w:p>
    <w:tbl>
      <w:tblPr>
        <w:tblW w:w="5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1440"/>
        <w:gridCol w:w="1440"/>
        <w:gridCol w:w="1440"/>
      </w:tblGrid>
      <w:tr>
        <w:trPr>
          <w:jc w:val="center"/>
          <w:trHeight w:val="56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520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Estratégia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Iteração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AIC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Quantidade de variáveis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Progressiva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5709,08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Progressiva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838,71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926,07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115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852,35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Bidirecional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5709,08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Bidirecional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836,78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30</w:t>
            </w:r>
            <w:r/>
          </w:p>
        </w:tc>
      </w:tr>
    </w:tbl>
    <w:p>
      <w:pPr>
        <w:ind w:left="1701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>
        <w:rPr>
          <w:bCs/>
        </w:rPr>
      </w: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  <w:tab/>
        <w:t xml:space="preserve">A capacidade preditiva do modelo obtido pe</w:t>
      </w:r>
      <w:r>
        <w:rPr>
          <w:bCs/>
        </w:rPr>
        <w:t xml:space="preserve">la estratégia de seleção de variáveis bidirecional foi avaliada para diferentes pontos de corte, e verificou-se, como ilustrado na Figura 10, a existência de uma relação diretamente proporcional entre o aumento do ponto de corte e a queda da sensitividade</w:t>
      </w:r>
      <w:r>
        <w:rPr>
          <w:bCs/>
        </w:rPr>
        <w:t xml:space="preserve">, de modo que quanto maior a probabilidade mínima aceita para que um cliente seja classificado como perdido para a companhia, menor o número de clientes que incidem no evento e são assim classificados pelo modelo</w:t>
      </w:r>
      <w:r>
        <w:rPr>
          <w:bCs/>
        </w:rPr>
        <w:t xml:space="preserve">.</w:t>
      </w:r>
      <w:r>
        <w:rPr>
          <w:bCs/>
        </w:rPr>
      </w:r>
      <w:r/>
    </w:p>
    <w:p>
      <w:pPr>
        <w:spacing w:line="360" w:lineRule="auto"/>
      </w:pPr>
      <w:r>
        <w:rPr>
          <w:bCs/>
          <w:highlight w:val="none"/>
        </w:rPr>
        <w:tab/>
        <w:t xml:space="preserve">Por exemplo, ao adotar um ponto de corte de 95%, apenas clientes com probabilidade maior ou igual a 95% de incidirem no evento, serão</w:t>
      </w:r>
      <w:r>
        <w:rPr>
          <w:bCs/>
          <w:highlight w:val="none"/>
        </w:rPr>
        <w:t xml:space="preserve"> classificados como perdidos. Contudo, de todos os clientes efetivamente perdidos, apenas 78,6% atendem a esse critério, de modo que os demais 21,4%, passam a não ser classificados como incidentes no evento, por terem probabilidade de perda inferior a 95%.</w:t>
      </w:r>
      <w:r>
        <w:rPr>
          <w:bCs/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bCs/>
        </w:rPr>
        <w:t xml:space="preserve">Observou-se que a diferença entre acurácia, especificidade e sensitividade foi reduzida ao definir o ponto de corte em </w:t>
      </w:r>
      <w:r>
        <w:rPr>
          <w:bCs/>
          <w:i w:val="0"/>
        </w:rPr>
        <w:t xml:space="preserve">25%</w:t>
      </w:r>
      <w:r>
        <w:rPr>
          <w:bCs/>
        </w:rPr>
        <w:t xml:space="preserve">.</w:t>
      </w:r>
      <w:r>
        <w:rPr>
          <w:bCs/>
        </w:rPr>
      </w:r>
      <w:r/>
    </w:p>
    <w:p>
      <w:pPr>
        <w:spacing w:line="360" w:lineRule="auto"/>
      </w:pPr>
      <w:r>
        <w:rPr>
          <w:bCs/>
          <w:highlight w:val="none"/>
        </w:rPr>
      </w:r>
      <w:r>
        <w:rPr>
          <w:bCs/>
          <w:highlight w:val="none"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5" name="Picture 6" descr="Chart, line 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Chart, line 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53.5pt;height:251.9pt;" stroked="f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10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Indicadores da capacidade preditiva do modelo de regressão logística com seleção gradual de variáveis</w:t>
      </w:r>
      <w:r>
        <w:rPr>
          <w:i w:val="0"/>
          <w:iCs w:val="0"/>
          <w:color w:val="auto"/>
          <w:sz w:val="22"/>
          <w:szCs w:val="22"/>
        </w:rPr>
        <w:t xml:space="preserve"> em ambas as direções</w:t>
      </w:r>
      <w:r>
        <w:rPr>
          <w:i w:val="0"/>
          <w:iCs w:val="0"/>
          <w:color w:val="auto"/>
          <w:sz w:val="22"/>
          <w:szCs w:val="22"/>
        </w:rPr>
        <w:t xml:space="preserve">, para diferentes pontos de corte</w:t>
      </w:r>
      <w:r/>
    </w:p>
    <w:p>
      <w:r>
        <w:t xml:space="preserve">Fonte: Resultados originais da pesquisa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ind w:firstLine="708"/>
        <w:spacing w:line="360" w:lineRule="auto"/>
        <w:rPr>
          <w:bCs/>
        </w:rPr>
      </w:pPr>
      <w:r>
        <w:rPr>
          <w:bCs/>
        </w:rPr>
        <w:t xml:space="preserve">Dos coeficientes estimados para o melhor modelo de regressão logística, </w:t>
      </w:r>
      <w:r>
        <w:rPr>
          <w:bCs/>
        </w:rPr>
        <w:t xml:space="preserve">o coeficiente associado às variáveis </w:t>
      </w:r>
      <w:r>
        <w:rPr>
          <w:bCs/>
        </w:rPr>
        <w:t xml:space="preserve">“satisfaction_score_3”, </w:t>
      </w:r>
      <w:r>
        <w:rPr>
          <w:bCs/>
        </w:rPr>
        <w:t xml:space="preserve">“satisfaction_score_4” e “satisfaction_s</w:t>
      </w:r>
      <w:r>
        <w:rPr>
          <w:bCs/>
        </w:rPr>
        <w:t xml:space="preserve">core_5” é negativo, e o p-valor </w:t>
      </w:r>
      <w:r>
        <w:rPr>
          <w:bCs/>
        </w:rPr>
        <w:t xml:space="preserve">associado a cada uma das três variáveis não é estatisticamente significante. A negatividade dos coeficientes indica que clientes com os </w:t>
      </w:r>
      <w:r>
        <w:rPr>
          <w:bCs/>
          <w:i/>
        </w:rPr>
        <w:t xml:space="preserve">scores </w:t>
      </w:r>
      <w:r>
        <w:rPr>
          <w:bCs/>
        </w:rPr>
        <w:t xml:space="preserve">de satisfação iguais a três, quatro ou cinco possuem probabilidade de </w:t>
      </w:r>
      <w:r>
        <w:rPr>
          <w:bCs/>
          <w:i/>
        </w:rPr>
        <w:t xml:space="preserve">churn</w:t>
      </w:r>
      <w:r>
        <w:rPr>
          <w:bCs/>
          <w:i/>
        </w:rPr>
        <w:t xml:space="preserve"> </w:t>
      </w:r>
      <w:r>
        <w:rPr>
          <w:bCs/>
        </w:rPr>
        <w:t xml:space="preserve">inferior aos demais clientes, o que faz sentido, uma vez que </w:t>
      </w:r>
      <w:r>
        <w:rPr>
          <w:bCs/>
          <w:i/>
        </w:rPr>
        <w:t xml:space="preserve">scores </w:t>
      </w:r>
      <w:r>
        <w:rPr>
          <w:bCs/>
        </w:rPr>
        <w:t xml:space="preserve">maiores indicam maior </w:t>
      </w:r>
      <w:r>
        <w:rPr>
          <w:bCs/>
        </w:rPr>
        <w:t xml:space="preserve">satisfação do cliente com a companhia.</w:t>
      </w:r>
      <w:r>
        <w:rPr>
          <w:bCs/>
        </w:rPr>
      </w:r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De acordo com </w:t>
      </w:r>
      <w:r>
        <w:t xml:space="preserve">James </w:t>
      </w:r>
      <w:r>
        <w:t xml:space="preserve">e colaboradores</w:t>
      </w:r>
      <w:r>
        <w:t xml:space="preserve"> (2021)</w:t>
      </w:r>
      <w:r>
        <w:rPr>
          <w:bCs/>
        </w:rPr>
        <w:t xml:space="preserve">, a acurácia dos coeficientes estimados é medida por seus respectivos</w:t>
      </w:r>
      <w:r>
        <w:rPr>
          <w:bCs/>
        </w:rPr>
        <w:t xml:space="preserve"> erros padrão, e valores absolutos elevados da estatística</w:t>
      </w:r>
      <w:r>
        <w:rPr>
          <w:bCs/>
        </w:rPr>
        <w:t xml:space="preserve"> z servem de evidência contrária à hipótese nula, segundo a qual a variável dependente associada ao coeficiente não é útil para prever o evento de interesse, e portanto o coeficiente é igual a zero. Esse comportamento pode ser observado na Tabela 10, na qu</w:t>
      </w:r>
      <w:r>
        <w:rPr>
          <w:bCs/>
        </w:rPr>
        <w:t xml:space="preserve">al valores absolutos pequenos da estatística z ocorrem em coeficientes cujo p-valor não é estatisticamente significante, como acontece com as variáveis de satisfação do cliente, e algumas referentes ao condado onde está localizada a residência do cliente “</w:t>
      </w:r>
      <w:r>
        <w:rPr>
          <w:bCs/>
        </w:rPr>
        <w:t xml:space="preserve">county_Mendocino_County”, </w:t>
      </w:r>
      <w:r>
        <w:rPr>
          <w:bCs/>
        </w:rPr>
        <w:t xml:space="preserve">“</w:t>
      </w:r>
      <w:r>
        <w:rPr>
          <w:rFonts w:eastAsia="Times New Roman"/>
          <w:color w:val="000000"/>
          <w:lang w:eastAsia="pt-BR"/>
        </w:rPr>
        <w:t xml:space="preserve">county_Lake_County”, relacionadas aos condados de Mendocino e Lake, respectivamente.</w:t>
      </w:r>
      <w:r>
        <w:rPr>
          <w:bCs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10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Coeficientes estimados para cada uma das variáveis preditoras do modelo de regressão logística</w:t>
      </w:r>
      <w:r>
        <w:rPr>
          <w:i w:val="0"/>
          <w:iCs w:val="0"/>
          <w:color w:val="auto"/>
          <w:sz w:val="22"/>
          <w:szCs w:val="22"/>
        </w:rPr>
        <w:t xml:space="preserve"> clássica com maior capacidade preditiva</w:t>
      </w:r>
      <w:r>
        <w:rPr>
          <w:i w:val="0"/>
          <w:iCs w:val="0"/>
          <w:color w:val="auto"/>
          <w:sz w:val="22"/>
          <w:szCs w:val="22"/>
        </w:rPr>
        <w:t xml:space="preserve">,</w:t>
      </w:r>
      <w:r>
        <w:rPr>
          <w:i w:val="0"/>
          <w:iCs w:val="0"/>
          <w:color w:val="auto"/>
          <w:sz w:val="22"/>
          <w:szCs w:val="22"/>
        </w:rPr>
        <w:t xml:space="preserve"> segundo o critério AIC</w:t>
      </w:r>
      <w:r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22"/>
        <w:gridCol w:w="1277"/>
        <w:gridCol w:w="1339"/>
        <w:gridCol w:w="849"/>
        <w:gridCol w:w="883"/>
      </w:tblGrid>
      <w:tr>
        <w:trPr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603" w:type="pct"/>
            <w:vAlign w:val="center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preditora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04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Coeficiente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38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Erro padrão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68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z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87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Pr(&gt;|z|)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(</w:t>
            </w:r>
            <w:r>
              <w:rPr>
                <w:rFonts w:eastAsia="Times New Roman"/>
                <w:color w:val="000000"/>
                <w:lang w:eastAsia="pt-BR"/>
              </w:rPr>
              <w:t xml:space="preserve">Intercept</w:t>
            </w:r>
            <w:r>
              <w:rPr>
                <w:rFonts w:eastAsia="Times New Roman"/>
                <w:color w:val="000000"/>
                <w:lang w:eastAsia="pt-BR"/>
              </w:rPr>
              <w:t xml:space="preserve">)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34,794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1380,479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0,025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-60,216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1747,677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-0,034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-60,679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1970,931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-38,961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1380,479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-0,028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0,977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flg_online_security1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-3,701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0,451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-8,214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number_of_referrals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-0,672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0,110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-6,115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6,242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tx_concentracao_cobranca_mes_q3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2,176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5,976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contract_Two_Year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-2,364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0,425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-5,558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flg_married1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1,832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0,286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6,396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number_of_dependents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-0,964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0,191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-5,048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county_San_Diego_County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1,312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0,290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4,524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-0,933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0,249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-3,753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flg_phone_service1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-2,376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0,573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-4,149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contract_One_Year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-0,851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-3,051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0,002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offer_Offer_E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0,611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0,275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2,223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0,026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county_Mendocino_County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-18,072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2180,543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offer_Offer_A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1,477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0,537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2,748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county_Lake_County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-16,676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1029,119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0,987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2,441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county_Nevada_County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-18,672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2308,246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0,994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5,731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2,018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2,840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county_Fresno_County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1,038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0,542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1,914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0,056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county_El_Dorado_County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1,444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0,828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1,743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0,081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county_Tulare_County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-1,463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0,806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-1,816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0,069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-2,647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0,008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county_San_Mateo_County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-1,743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1,120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-1,556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0,120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-0,050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-2,626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0,009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2,098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internet_type_Fiber_Optic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-0,792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0,371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-2,135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flg_online_backup1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-0,395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-1,711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0,087</w:t>
            </w:r>
            <w:r/>
          </w:p>
        </w:tc>
      </w:tr>
    </w:tbl>
    <w:p>
      <w:pPr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bCs/>
          <w:highlight w:val="none"/>
        </w:rPr>
        <w:t xml:space="preserve">Tratando as variáveis preditoras como grupos, pensou-se em aplicar a regressão logística multinível, a qual possibilita modelar cenários nos quais a chance de ocorrência do evento, bem como o efeito das variáveis preditoras, varia entre os grupos </w:t>
      </w:r>
      <w:r>
        <w:rPr>
          <w:bCs/>
          <w:highlight w:val="none"/>
        </w:rPr>
        <w:t xml:space="preserve">(Sommet e Morselli, 2017).</w:t>
      </w:r>
      <w:r>
        <w:rPr>
          <w:bCs/>
          <w:highlight w:val="none"/>
        </w:rPr>
        <w:t xml:space="preserve"> </w:t>
      </w:r>
      <w:r>
        <w:rPr>
          <w:bCs/>
        </w:rPr>
        <w:t xml:space="preserve">Inicialmente quis-se identificar quais eram as variáveis dependentes categóricas com maiores coeficientes de correlação intraclasse ajustado, a fim de serem posteriormente utilizadas como variáveis de nível dois, ou efeitos aleatórios, e v</w:t>
      </w:r>
      <w:r>
        <w:rPr>
          <w:bCs/>
        </w:rPr>
        <w:t xml:space="preserve">erificou-se, conforme apresentado na Tabela 12, que das dezoito variáveis selecionadas, quatro possuem coeficiente maior ou igual a 0,18, sendo </w:t>
      </w:r>
      <w:r>
        <w:rPr>
          <w:bCs/>
        </w:rPr>
        <w:t xml:space="preserve">“satisfaction_score”, </w:t>
      </w:r>
      <w:r>
        <w:rPr>
          <w:bCs/>
        </w:rPr>
        <w:t xml:space="preserve">a variável com maior coeficiente de correlação intraclasse.</w:t>
      </w:r>
      <w:r>
        <w:rPr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</w:r>
      <w:r>
        <w:rPr>
          <w:bCs/>
          <w:highlight w:val="none"/>
        </w:rPr>
        <w:t xml:space="preserve">Entretanto, encontrou-se a ressalva pontuada por Sommet e Morselli (20</w:t>
      </w:r>
      <w:r>
        <w:rPr>
          <w:bCs/>
          <w:highlight w:val="none"/>
        </w:rPr>
        <w:t xml:space="preserve">17), segundo os quais a regressão multinível é aplicada em cenários em que os dados estão aninhados, sendo que uma das diferenças fundamentais entre variáveis que representam níveis e variáveis preditoras, é que os níveis não possuem significado intrínseco</w:t>
      </w:r>
      <w:r>
        <w:rPr>
          <w:highlight w:val="none"/>
        </w:rPr>
        <w:t xml:space="preserve">.</w:t>
      </w:r>
      <w:r>
        <w:rPr>
          <w:b w:val="0"/>
          <w:i w:val="0"/>
          <w:highlight w:val="none"/>
        </w:rPr>
      </w:r>
      <w:r/>
    </w:p>
    <w:p>
      <w:pPr>
        <w:ind w:firstLine="708"/>
        <w:spacing w:line="360" w:lineRule="auto"/>
        <w:rPr>
          <w:b w:val="0"/>
          <w:i w:val="0"/>
          <w:highlight w:val="none"/>
        </w:rPr>
      </w:pPr>
      <w:r>
        <w:rPr>
          <w:highlight w:val="none"/>
        </w:rPr>
        <w:t xml:space="preserve">Desse modo, no </w:t>
      </w:r>
      <w:r>
        <w:rPr>
          <w:i/>
          <w:highlight w:val="none"/>
        </w:rPr>
        <w:t xml:space="preserve">dataset </w:t>
      </w:r>
      <w:r>
        <w:rPr>
          <w:highlight w:val="none"/>
        </w:rPr>
        <w:t xml:space="preserve">utilizado no estudo, revelou-se que apenas a variável </w:t>
      </w:r>
      <w:r>
        <w:rPr>
          <w:b w:val="0"/>
          <w:i/>
          <w:highlight w:val="none"/>
        </w:rPr>
        <w:t xml:space="preserve">“</w:t>
      </w:r>
      <w:r>
        <w:rPr>
          <w:b w:val="0"/>
          <w:i/>
          <w:highlight w:val="none"/>
        </w:rPr>
        <w:t xml:space="preserve">county”</w:t>
      </w:r>
      <w:r>
        <w:rPr>
          <w:b w:val="0"/>
          <w:i w:val="0"/>
          <w:highlight w:val="none"/>
        </w:rPr>
        <w:t xml:space="preserve">, representando o condado da residência do cliente, satisfaz esse critério, a qual possui um coeficiente de correlação intraclasse igual a 0,013, indicando que a chance de </w:t>
      </w:r>
      <w:r>
        <w:rPr>
          <w:b w:val="0"/>
          <w:i/>
          <w:highlight w:val="none"/>
        </w:rPr>
        <w:t xml:space="preserve">churn </w:t>
      </w:r>
      <w:r>
        <w:rPr>
          <w:b w:val="0"/>
          <w:i w:val="0"/>
          <w:highlight w:val="none"/>
        </w:rPr>
        <w:t xml:space="preserve">varia pouco entre os condados, de modo que apenas 1,3% da chance</w:t>
      </w:r>
      <w:r>
        <w:rPr>
          <w:b w:val="0"/>
          <w:i w:val="0"/>
          <w:highlight w:val="none"/>
        </w:rPr>
        <w:t xml:space="preserve"> é explicada pelas diferenças existentes entre os condados. </w:t>
      </w:r>
      <w:r>
        <w:rPr>
          <w:b w:val="0"/>
          <w:i w:val="0"/>
          <w:highlight w:val="none"/>
        </w:rPr>
        <w:t xml:space="preserve">Consequentemente, concluiu-se que um modelo de regressão logística clássico, de um nível, basta para o presente estudo.</w:t>
      </w:r>
      <w:r>
        <w:rPr>
          <w:b w:val="0"/>
          <w:i w:val="0"/>
          <w:highlight w:val="none"/>
        </w:rPr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30"/>
        <w:ind w:left="1843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12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Coeficientes de correlação intraclasse, </w:t>
      </w:r>
      <w:r>
        <w:rPr>
          <w:i w:val="0"/>
          <w:iCs w:val="0"/>
          <w:color w:val="auto"/>
          <w:sz w:val="22"/>
          <w:szCs w:val="22"/>
        </w:rPr>
        <w:t xml:space="preserve">calculado</w:t>
      </w:r>
      <w:r>
        <w:rPr>
          <w:i w:val="0"/>
          <w:iCs w:val="0"/>
          <w:color w:val="auto"/>
          <w:sz w:val="22"/>
          <w:szCs w:val="22"/>
        </w:rPr>
        <w:t xml:space="preserve">s</w:t>
      </w:r>
      <w:r>
        <w:rPr>
          <w:i w:val="0"/>
          <w:iCs w:val="0"/>
          <w:color w:val="auto"/>
          <w:sz w:val="22"/>
          <w:szCs w:val="22"/>
        </w:rPr>
        <w:t xml:space="preserve"> para </w:t>
      </w:r>
      <w:r>
        <w:rPr>
          <w:i w:val="0"/>
          <w:iCs w:val="0"/>
          <w:color w:val="auto"/>
          <w:sz w:val="22"/>
          <w:szCs w:val="22"/>
        </w:rPr>
        <w:t xml:space="preserve">variáveis dependentes categóricas</w:t>
      </w:r>
      <w:r/>
    </w:p>
    <w:tbl>
      <w:tblPr>
        <w:tblW w:w="549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58"/>
        <w:gridCol w:w="2740"/>
      </w:tblGrid>
      <w:tr>
        <w:trPr>
          <w:jc w:val="center"/>
          <w:trHeight w:val="56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58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Efeito aleatório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Coeficiente de correlação intraclasse ajustado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0,381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flg_internet_service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0,191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0,180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internet_type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0,155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payment_method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flg_online_security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0,068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flg_paperless_billing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flg_unlimited_data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0,056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flg_married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0,013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flg_online_backup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0,012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flg_device_protection_plan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0,007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flg_streaming_movies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flg_streaming_music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0,003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flg_multiple_lines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0,002</w:t>
            </w:r>
            <w:r/>
          </w:p>
        </w:tc>
      </w:tr>
    </w:tbl>
    <w:p>
      <w:pPr>
        <w:ind w:left="1843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r/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Treinaram-se também modelos de </w:t>
      </w:r>
      <w:r>
        <w:rPr>
          <w:highlight w:val="none"/>
        </w:rPr>
        <w:t xml:space="preserve">árvore de decisão e </w:t>
      </w:r>
      <w:r>
        <w:rPr>
          <w:i/>
          <w:highlight w:val="none"/>
        </w:rPr>
        <w:t xml:space="preserve">random forest</w:t>
      </w:r>
      <w:r>
        <w:rPr>
          <w:highlight w:val="none"/>
        </w:rPr>
        <w:t xml:space="preserve">, a fim de terem a performance comparada com a do modelo de regressão logística. </w:t>
      </w:r>
      <w:r>
        <w:rPr>
          <w:highlight w:val="none"/>
        </w:rPr>
        <w:t xml:space="preserve">O modelo </w:t>
      </w:r>
      <w:r>
        <w:rPr>
          <w:i/>
          <w:highlight w:val="none"/>
        </w:rPr>
        <w:t xml:space="preserve">random forest</w:t>
      </w:r>
      <w:r>
        <w:rPr>
          <w:i w:val="0"/>
          <w:highlight w:val="none"/>
        </w:rPr>
        <w:t xml:space="preserve">, inicialmente foi treinado com mil árvores, sem a variável “county”, dev</w:t>
      </w:r>
      <w:r>
        <w:rPr>
          <w:i w:val="0"/>
          <w:highlight w:val="none"/>
        </w:rPr>
        <w:t xml:space="preserve">ido a incapacidade do algoritmo utilizado em trabalhar com fatores cuja quantidade de níveis ultrapassa 53. Posteriormente transformou-se a coluna “county” em 57 variáveis binárias, a fim de que fosse possível utilizá-la no treinamento.</w:t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O modelo de árvore de decisão foi capaz de detectar a completa ausência do evento de </w:t>
      </w:r>
      <w:r>
        <w:rPr>
          <w:i/>
          <w:highlight w:val="none"/>
        </w:rPr>
        <w:t xml:space="preserve">churn</w:t>
      </w:r>
      <w:r>
        <w:rPr>
          <w:i w:val="0"/>
          <w:highlight w:val="none"/>
        </w:rPr>
        <w:t xml:space="preserve"> em </w:t>
      </w:r>
      <w:r>
        <w:rPr>
          <w:highlight w:val="none"/>
        </w:rPr>
        <w:t xml:space="preserve">clientes com </w:t>
      </w:r>
      <w:r>
        <w:rPr>
          <w:i/>
          <w:highlight w:val="none"/>
        </w:rPr>
        <w:t xml:space="preserve">score </w:t>
      </w:r>
      <w:r>
        <w:rPr>
          <w:highlight w:val="none"/>
        </w:rPr>
        <w:t xml:space="preserve">de satisfação igual a quatro ou cinco, e também conseguiu identificar que todos os clientes com </w:t>
      </w:r>
      <w:r>
        <w:rPr>
          <w:i/>
          <w:highlight w:val="none"/>
        </w:rPr>
        <w:t xml:space="preserve">scores</w:t>
      </w:r>
      <w:r>
        <w:rPr>
          <w:highlight w:val="none"/>
        </w:rPr>
        <w:t xml:space="preserve"> de satisfação igual a um ou dois foram perdidos pela companhia, de modo que estas duas condições constituem duas folhas da árvore. Para os demais clientes, com </w:t>
      </w:r>
      <w:r>
        <w:rPr>
          <w:i/>
          <w:highlight w:val="none"/>
        </w:rPr>
        <w:t xml:space="preserve">score </w:t>
      </w:r>
      <w:r>
        <w:rPr>
          <w:highlight w:val="none"/>
        </w:rPr>
        <w:t xml:space="preserve">de satisfação igual a três, uma das folhas indica que </w:t>
      </w:r>
      <w:r>
        <w:rPr>
          <w:highlight w:val="none"/>
        </w:rPr>
        <w:t xml:space="preserve">clientes </w:t>
      </w:r>
      <w:r>
        <w:rPr>
          <w:highlight w:val="none"/>
        </w:rPr>
        <w:t xml:space="preserve">que assinam o serviço de segurança online, e </w:t>
      </w:r>
      <w:r>
        <w:rPr>
          <w:highlight w:val="none"/>
        </w:rPr>
        <w:t xml:space="preserve">cuja representatividade do valor da mensalidade atual, no montante cobrado ao longo do trimestre é inferior a 19%, tem elevado índice de </w:t>
      </w:r>
      <w:r>
        <w:rPr>
          <w:i/>
          <w:highlight w:val="none"/>
        </w:rPr>
        <w:t xml:space="preserve">churn,</w:t>
      </w:r>
      <w:r>
        <w:rPr>
          <w:i w:val="0"/>
          <w:highlight w:val="none"/>
        </w:rPr>
        <w:t xml:space="preserve"> sendo que 14,93% dos clientes da base de treinamento detém essas características, dos quais </w:t>
      </w:r>
      <w:r>
        <w:rPr>
          <w:i w:val="0"/>
          <w:highlight w:val="none"/>
        </w:rPr>
        <w:t xml:space="preserve">82%</w:t>
      </w:r>
      <w:r>
        <w:rPr>
          <w:highlight w:val="none"/>
        </w:rPr>
        <w:t xml:space="preserve"> foram perdidos pela companhia.</w:t>
      </w:r>
      <w:r>
        <w:rPr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  <w:tab/>
        <w:t xml:space="preserve">Três principais indicadores dos modelos estão ilustrados na Figura 13, para diferentes ponto</w:t>
      </w:r>
      <w:r>
        <w:rPr>
          <w:highlight w:val="none"/>
        </w:rPr>
        <w:t xml:space="preserve">s de corte, na qual evidencia-se que o comportamento dos modelos de regressão logística e árvore de decisão é bastante semelhante entre si, os quais, para pontos de cortes inferiores ou iguais a 0.25, possuem maior acurácia e especificidade que os modelos </w:t>
      </w:r>
      <w:r>
        <w:rPr>
          <w:i/>
          <w:highlight w:val="none"/>
        </w:rPr>
        <w:t xml:space="preserve">random forest.</w:t>
      </w:r>
      <w:r>
        <w:rPr>
          <w:i w:val="0"/>
          <w:highlight w:val="none"/>
        </w:rPr>
        <w:t xml:space="preserve"> Verificou-se também a acurácia e principalmente a especificidade destes últimos sofre grande deterioração para pontos de corte superiores a 0.5.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7972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10401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59449" cy="2879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53.5pt;height:226.8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1130"/>
        <w:spacing w:after="0"/>
        <w:rPr>
          <w:b/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13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Indicadores da capacidade preditiva dos diversos modelos estimados, para diferentes pontos de corte</w:t>
      </w:r>
      <w:r/>
    </w:p>
    <w:p>
      <w:pPr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/>
      <w:r/>
    </w:p>
    <w:p>
      <w:pPr>
        <w:spacing w:line="360" w:lineRule="auto"/>
      </w:pPr>
      <w:r>
        <w:rPr>
          <w:bCs/>
        </w:rPr>
        <w:tab/>
        <w:t xml:space="preserve">Por fim, </w:t>
      </w:r>
      <w:r>
        <w:rPr>
          <w:bCs/>
        </w:rPr>
        <w:t xml:space="preserve">foram calculadas as áreas sob as curvas ROC, dos quatro modelos, como indicador geral da performance, as quais estão sumarizadas na Tabela 15, na qual revela-se que o modelo de regressão logística treinamento com seleção gradual de variáveis em abordagem b</w:t>
      </w:r>
      <w:r>
        <w:rPr>
          <w:bCs/>
        </w:rPr>
        <w:t xml:space="preserve">idirecional, possui maior capacidade preditiva que os demais modelos. Evidencia-se também que a diferença entre as áreas sob as curvas, é inferior a 0,01, de modo que, por esta métrica, não são percebidas grandes diferenças de performance entre os modelos.</w:t>
      </w: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30"/>
        <w:ind w:left="1418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15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Área sob a curva ROC, de diversos modelos estimados</w:t>
      </w:r>
      <w:r/>
    </w:p>
    <w:tbl>
      <w:tblPr>
        <w:tblW w:w="6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80"/>
        <w:gridCol w:w="1000"/>
      </w:tblGrid>
      <w:tr>
        <w:trPr>
          <w:jc w:val="center"/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5380" w:type="dxa"/>
            <w:vAlign w:val="center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Modelo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000" w:type="dxa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AUC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Regressão logística com seleção gradual de variáveis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0,9885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Árvore de decisão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0,9854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Random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forest</w:t>
            </w:r>
            <w:r>
              <w:rPr>
                <w:rFonts w:eastAsia="Times New Roman"/>
                <w:color w:val="000000"/>
                <w:lang w:eastAsia="pt-BR"/>
              </w:rPr>
              <w:t xml:space="preserve"> sem a variável categórica "</w:t>
            </w:r>
            <w:r>
              <w:rPr>
                <w:rFonts w:eastAsia="Times New Roman"/>
                <w:color w:val="000000"/>
                <w:lang w:eastAsia="pt-BR"/>
              </w:rPr>
              <w:t xml:space="preserve">county</w:t>
            </w:r>
            <w:r>
              <w:rPr>
                <w:rFonts w:eastAsia="Times New Roman"/>
                <w:color w:val="000000"/>
                <w:lang w:eastAsia="pt-BR"/>
              </w:rPr>
              <w:t xml:space="preserve">"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0,9836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Random forest com a </w:t>
            </w:r>
            <w:r>
              <w:rPr>
                <w:rFonts w:eastAsia="Times New Roman"/>
                <w:color w:val="000000"/>
                <w:lang w:val="en-US" w:eastAsia="pt-BR"/>
              </w:rPr>
              <w:t xml:space="preserve">variável</w:t>
            </w:r>
            <w:r>
              <w:rPr>
                <w:rFonts w:eastAsia="Times New Roman"/>
                <w:color w:val="000000"/>
                <w:lang w:val="en-US" w:eastAsia="pt-BR"/>
              </w:rPr>
              <w:t xml:space="preserve"> "county" transformada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0,9808</w:t>
            </w:r>
            <w:r/>
          </w:p>
        </w:tc>
      </w:tr>
    </w:tbl>
    <w:p>
      <w:pPr>
        <w:ind w:left="1418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  <w:t xml:space="preserve">Conclusão</w:t>
      </w:r>
      <w:r/>
    </w:p>
    <w:p>
      <w:pPr>
        <w:spacing w:line="360" w:lineRule="auto"/>
        <w:rPr>
          <w:b/>
        </w:rPr>
      </w:pPr>
      <w:r>
        <w:rPr>
          <w:b w:val="0"/>
        </w:rPr>
      </w:r>
      <w:r>
        <w:rPr>
          <w:b/>
        </w:rPr>
      </w:r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spacing w:line="360" w:lineRule="auto"/>
        <w:rPr>
          <w:b/>
        </w:rPr>
      </w:pPr>
      <w:r>
        <w:rPr>
          <w:b/>
        </w:rPr>
        <w:t xml:space="preserve">Agradecimento</w:t>
      </w:r>
      <w:r/>
    </w:p>
    <w:p>
      <w:pPr>
        <w:spacing w:line="360" w:lineRule="auto"/>
        <w:rPr>
          <w:bCs/>
        </w:rPr>
      </w:pPr>
      <w:r>
        <w:rPr>
          <w:bCs/>
        </w:rPr>
      </w:r>
      <w:r>
        <w:rPr>
          <w:b w:val="0"/>
        </w:rPr>
        <w:t xml:space="preserve">Agradeço e dedico o presente trabalho à minha mãe.</w:t>
      </w:r>
      <w:r/>
      <w:r>
        <w:rPr>
          <w:bCs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/>
      <w:bookmarkStart w:id="24" w:name="_Hlk33977167"/>
      <w:r>
        <w:rPr>
          <w:b/>
        </w:rPr>
        <w:t xml:space="preserve">Referências</w:t>
      </w:r>
      <w:bookmarkEnd w:id="24"/>
      <w:r/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Anderson, E. W.; Sullivan, M. W. 1993.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The Antecedents and Consequences of Customer Satisfaction.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Marketing Science 12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125-143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yellow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Brooks, M. E.; Kristensen, K.;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Benthem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 J. van; Magnusson, A.; Berg, C. W.; Nielsen, A.;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Skaug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 J.;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Maechler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M.;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Bolker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B. M. 2017.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glmmTMB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Balances Speed and Flexibility Among Packages for Zero-inflated Generalized Linear Mixed Modeling.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The 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Journal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9(2): 378-400.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Caldeira, S. 2006. Retenção de Clientes.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p. 165-184.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: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Correia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A.;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Sacavém,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Colaço,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C. Manual de Fitness &amp; Marketing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Visão e Contextos,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Lisboa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Lisboa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Portugal.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Fávero, L. P.;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Belfiore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P. 2017. Manual de Análise de Dados: Estatística e Modelagem Multivariada com Excel®, SPSS® e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Stata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®. Elsevier Editora Ltda., Rio de Janeiro, RJ, Brasil.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Ferreira, C. M. C. 2012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Um estudo sobre fidelização e retenção de clientes na área do fitness.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Dissertação.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Politécnico de Castelo Branco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Castelo Branco, Castelo Branco, Portugal.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Fornell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C. 1992. A national customer satisfaction barometer: The Swedish experience. Journal of Marketing 56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6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-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Glady, N.;</w:t>
      </w:r>
      <w:r>
        <w:rPr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Baesens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B.;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Croux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C. 2009.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Modeling churn using customer lifetime value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European Journal of Operational Research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197: 402-411.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Hester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Bryan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2022. glue: Interpreted String Literals.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1.6.2.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glue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Acesso em</w:t>
      </w:r>
      <w:r>
        <w:rPr>
          <w:rFonts w:ascii="Times New Roman" w:hAnsi="Times New Roman" w:cs="Times New Roman"/>
          <w:sz w:val="20"/>
          <w:szCs w:val="20"/>
        </w:rPr>
        <w:t xml:space="preserve">:</w:t>
      </w:r>
      <w:r>
        <w:rPr>
          <w:rFonts w:ascii="Times New Roman" w:hAnsi="Times New Roman" w:cs="Times New Roman"/>
          <w:sz w:val="20"/>
          <w:szCs w:val="20"/>
        </w:rPr>
        <w:t xml:space="preserve"> 22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Brasileiro de Geografia e Estatística [IBGE]. 2019. Pesquisa Anual de Serviços. Disponível em: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https://ftp.ibge.gov.br/Comercio_e_Servicos/Pesquisa_Anual_de_Servicos/pas2019/xlsx/tabelas_2019_xlsx.zip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Acesso em: 08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Brasileiro de Geografia e Estatística [IBGE]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2019.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Pesquisa Nacional por Amostra de Domicílios Contínua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Disponível em: 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https://biblioteca.ibge.gov.br/visualizacao/livros/liv101794_informativo.pdf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Acesso em: 09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International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Business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Machines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Corporation [IBM].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2019.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Telco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customer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churn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(11.1.3+). Disponível 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https://community.ibm.com/community/user/businessanalytics/blogs/steven-macko/2019/07/11/telco-customer-churn-1113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24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jul.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Jahromi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A. T.;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Stakhovych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S.; Ewing, M. 2014.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Managing B2B customer churn, retention and profitability. Industrial Marketing Management 43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1258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-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1268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James, G.; Witten, D.; Hastie, T.; Tibshirani, R. 2021. An Introduction to Statistical Learning with applications in R. 2ed. Springer. New York, New York, USA. Disponível em: &lt;https://web.stanford.edu/~hastie/ISLR2/ISLRv2_website.pdf&gt;. Acesso em: 01 out. 20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21.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Venables, W.; Ripley, B. 2002. Modern Applied Statistics with S. 4ed. Springer. New York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, New York, USA.</w:t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Kuhn, M. 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caret: Classification and Regression Training.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6.0-91.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caret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22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maio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Mattison, R. 2005. The Telco Churn Management Handbook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XiT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Press,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Oakwood Hills,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IL, USA.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 Core Team. 2021. R: A language and environment for statistical computing. R Foundation for Statistical Computing, Vienna, Austria.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Disponível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&lt;https://www.R-project.org/&gt;.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19 out. 2021.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Rozzi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2021.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zipcodeR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Advancing the analysis of spatial data at the ZIP code level in 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Software Impacts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9: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100099.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Slowikowski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2021.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ggrepel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Automatically Position Non-Overlapping Text Labels with 'ggplot2'.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0.9.1.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ggrepel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/>
      <w:bookmarkStart w:id="25" w:name="_Hlk104151829"/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United States Census Bureau</w:t>
      </w:r>
      <w:bookmarkEnd w:id="25"/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[USCB].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American Community Survey 5-Year Data (2009-2020).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&lt;https://www.census.gov/data/developers/data-sets/acs-5year.2017.html&gt;.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22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maio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Voeten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C.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buildmer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Stepwise Elimination and Term Reordering for Mixed-Effects Regression.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2.4.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buildmer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Walker, K.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tigris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Load Census TIGER/Line Shapefiles.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1.6.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https://cran.r-project.org/package=tigris</w:t>
      </w:r>
      <w:r>
        <w:rPr>
          <w:rFonts w:ascii="Times New Roman" w:hAnsi="Times New Roman" w:cs="Times New Roman"/>
          <w:sz w:val="20"/>
          <w:szCs w:val="20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Walker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Herman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M.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tidycensus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Load US Census Boundary and Attribute Data as '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tidyverse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' and 'sf'-Ready Data Frames.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1.2.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tidycensus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Wickham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stringr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Simple, Consistent Wrappers for Common String Operations.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1.4.0.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stringr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</w:rPr>
        <w:t xml:space="preserve">Acesso em</w:t>
      </w:r>
      <w:r>
        <w:rPr>
          <w:rFonts w:ascii="Times New Roman" w:hAnsi="Times New Roman" w:cs="Times New Roman"/>
          <w:sz w:val="20"/>
          <w:szCs w:val="20"/>
        </w:rPr>
        <w:t xml:space="preserve">:</w:t>
      </w:r>
      <w:r>
        <w:rPr>
          <w:rFonts w:ascii="Times New Roman" w:hAnsi="Times New Roman" w:cs="Times New Roman"/>
          <w:sz w:val="20"/>
          <w:szCs w:val="20"/>
        </w:rPr>
        <w:t xml:space="preserve"> 22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Wickham, H.;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Averick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M.; Bryan, J.; Chang, W.;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McGowan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L. D.; François, R.;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Grolemund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G.; Hayes, A.; Henry, L.;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Hester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J.; Kuhn, M.; Pedersen, T. L.; Miller, E.;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Bache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S. M.; Müller, K.;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Ooms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J.; Robinson, D.;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Seidel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D. P.;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Spinu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V.; Takahashi, K.; Vaughan, D.;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Wilke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C.; Woo, K.;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Yutani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H.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Welcome to the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tidyverse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Journal of Open Source Software 4: 1686.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Wickham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Bryan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readxl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Read Excel Files.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1.3.1.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readxl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Zeileis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A.;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Hothorn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T. 2002. Diagnostic Checking in Regression Relationships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News 2(3)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7-10.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Sing, T.; Sander, O.; Beerenwinkel, N.; Lengauer, T. 2005. ROCR: visualizing classifier performance in R. Bioinformatics 21(20):3940-1.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lang w:val="en-US"/>
        </w:rPr>
      </w:r>
      <w:r>
        <w:rPr>
          <w:lang w:val="en-US"/>
        </w:rPr>
        <w:t xml:space="preserve">Liaw, A; Wiener, M. 2002. </w:t>
      </w:r>
      <w:r>
        <w:rPr>
          <w:lang w:val="en-US"/>
        </w:rPr>
        <w:t xml:space="preserve">Classification and Regression by randomForest</w:t>
      </w:r>
      <w:r>
        <w:rPr>
          <w:lang w:val="en-US"/>
        </w:rPr>
      </w:r>
      <w:r>
        <w:rPr>
          <w:lang w:val="en-US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News 2(3)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18-22.</w:t>
      </w:r>
      <w:r>
        <w:rPr>
          <w:lang w:val="en-US"/>
        </w:rPr>
      </w:r>
      <w:r/>
      <w:r>
        <w:rPr>
          <w:lang w:val="en-US"/>
        </w:rPr>
      </w:r>
      <w:r>
        <w:rPr>
          <w:lang w:val="en-US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Therneau, T.; Atkinson, B.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2022. rpart: Recursive Partitioning and Regression Trees.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4.1.16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https://cran.r-project.org/package=rpart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12 set.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lang w:val="en-US" w:eastAsia="pt-BR"/>
        </w:rPr>
      </w:r>
      <w:r>
        <w:rPr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Milborrow, S. 2022.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rpart.plot: Plot 'rpart' Models: An Enhanced Version of 'plot.rpart'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 package version 3.1.1. Disponível em: &lt;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https://cran.r-project.org/package=rpart.plot&gt;. Acesso em: 12 set. 2022.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lang w:val="en-US" w:eastAsia="pt-BR"/>
        </w:rPr>
      </w:pPr>
      <w:r>
        <w:rPr>
          <w:lang w:val="en-US" w:eastAsia="pt-BR"/>
        </w:rPr>
      </w:r>
      <w:r>
        <w:rPr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Kaplan, J. 2020.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fastDummies: Fast Creation of Dummy (Binary) Columns and Rows from</w:t>
      </w:r>
      <w:r/>
      <w:r>
        <w:rPr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Categorical Variables.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 package version 1.6.3. Disponível em: &lt;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https://cran.r-project.org/package=fastDummies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&gt;. Acesso em: 12 set. 2022.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Sommet,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N.</w:t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; Morselli,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D. </w:t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2017. Keep Calm and Learn Multilevel Logistic Modeling: A </w:t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Simplified Three-Step Procedure Using Stata, R, Mplus, </w:t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and SPSS.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International Review of Social Psychology, 30(1), 203–218.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sectPr>
      <w:headerReference w:type="default" r:id="rId12"/>
      <w:footerReference w:type="default" r:id="rId16"/>
      <w:footerReference w:type="first" r:id="rId17"/>
      <w:footnotePr/>
      <w:endnotePr/>
      <w:type w:val="nextPage"/>
      <w:pgSz w:w="11906" w:h="16838" w:orient="portrait"/>
      <w:pgMar w:top="1418" w:right="1418" w:bottom="1418" w:left="1418" w:header="709" w:footer="709" w:gutter="0"/>
      <w:pgNumType w:start="2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32360599"/>
      <w:docPartObj>
        <w:docPartGallery w:val="Page Numbers (Bottom of Page)"/>
        <w:docPartUnique w:val="true"/>
      </w:docPartObj>
      <w:rPr/>
    </w:sdtPr>
    <w:sdtContent>
      <w:p>
        <w:pPr>
          <w:pStyle w:val="1122"/>
          <w:jc w:val="right"/>
        </w:pPr>
        <w:r/>
        <w:r/>
      </w:p>
    </w:sdtContent>
  </w:sdt>
  <w:p>
    <w:pPr>
      <w:pStyle w:val="112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2"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700615095"/>
      <w:docPartObj>
        <w:docPartGallery w:val="Page Numbers (Bottom of Page)"/>
        <w:docPartUnique w:val="true"/>
      </w:docPartObj>
      <w:rPr/>
    </w:sdtPr>
    <w:sdtContent>
      <w:p>
        <w:pPr>
          <w:pStyle w:val="1122"/>
          <w:jc w:val="right"/>
          <w:rPr>
            <w:sz w:val="18"/>
            <w:szCs w:val="18"/>
          </w:rPr>
        </w:pP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 xml:space="preserve">PAGE   \* MERGEFORMAT</w:instrText>
        </w:r>
        <w:r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 xml:space="preserve">1</w:t>
        </w:r>
        <w:r>
          <w:rPr>
            <w:sz w:val="18"/>
            <w:szCs w:val="18"/>
          </w:rPr>
          <w:fldChar w:fldCharType="end"/>
        </w:r>
        <w:r/>
      </w:p>
    </w:sdtContent>
  </w:sdt>
  <w:p>
    <w:pPr>
      <w:jc w:val="left"/>
      <w:spacing w:line="240" w:lineRule="auto"/>
      <w:rPr>
        <w:sz w:val="18"/>
        <w:szCs w:val="18"/>
      </w:rPr>
    </w:pPr>
    <w:r>
      <w:rPr>
        <w:sz w:val="18"/>
        <w:szCs w:val="18"/>
      </w:rPr>
    </w:r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2"/>
      <w:jc w:val="right"/>
      <w:rPr>
        <w:sz w:val="18"/>
        <w:szCs w:val="18"/>
      </w:rPr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PAGE   \* MERGEFORMAT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 xml:space="preserve">4</w:t>
    </w:r>
    <w:r>
      <w:rPr>
        <w:sz w:val="18"/>
        <w:szCs w:val="18"/>
      </w:rPr>
      <w:fldChar w:fldCharType="end"/>
    </w:r>
    <w:r/>
  </w:p>
  <w:p>
    <w:pPr>
      <w:pStyle w:val="1122"/>
    </w:pPr>
    <w:r/>
    <w:r/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2"/>
      <w:jc w:val="right"/>
    </w:pPr>
    <w:r/>
    <w:r/>
  </w:p>
  <w:p>
    <w:pPr>
      <w:pStyle w:val="112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/>
      <w:bookmarkStart w:id="0" w:name="_Hlk493588901"/>
      <w:r/>
      <w:bookmarkEnd w:id="0"/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7"/>
      <w:ind w:right="3968"/>
      <w:rPr>
        <w:sz w:val="16"/>
        <w:szCs w:val="17"/>
      </w:rPr>
    </w:pPr>
    <w:r>
      <w:rPr>
        <w:sz w:val="16"/>
        <w:szCs w:val="17"/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6192" behindDoc="0" locked="0" layoutInCell="1" allowOverlap="1">
              <wp:simplePos x="0" y="0"/>
              <wp:positionH relativeFrom="margin">
                <wp:posOffset>4705985</wp:posOffset>
              </wp:positionH>
              <wp:positionV relativeFrom="margin">
                <wp:posOffset>-718820</wp:posOffset>
              </wp:positionV>
              <wp:extent cx="604520" cy="428625"/>
              <wp:effectExtent l="0" t="0" r="5080" b="9525"/>
              <wp:wrapSquare wrapText="bothSides"/>
              <wp:docPr id="1" name="Imagem 13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.png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04520" cy="428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mso-wrap-distance-left:9.0pt;mso-wrap-distance-top:0.0pt;mso-wrap-distance-right:9.0pt;mso-wrap-distance-bottom:0.0pt;z-index:251656192;o:allowoverlap:true;o:allowincell:true;mso-position-horizontal-relative:margin;margin-left:370.5pt;mso-position-horizontal:absolute;mso-position-vertical-relative:margin;margin-top:-56.6pt;mso-position-vertical:absolute;width:47.6pt;height:33.8pt;" stroked="false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Monografia apresentada para obtenção do título de especialista em </w:t>
    </w:r>
    <w:r>
      <w:rPr>
        <w:sz w:val="16"/>
        <w:szCs w:val="17"/>
      </w:rPr>
      <w:t xml:space="preserve">_________ (Nome do curso)</w:t>
    </w:r>
    <w:r>
      <w:rPr>
        <w:sz w:val="16"/>
        <w:szCs w:val="17"/>
      </w:rPr>
      <w:t xml:space="preserve"> – Ano ____ (ano da defesa)</w:t>
    </w:r>
    <w:r/>
  </w:p>
  <w:p>
    <w:pPr>
      <w:pStyle w:val="1120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2" name="Conector reto 5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shape 1" o:spid="_x0000_s1" o:spt="20" style="position:absolute;mso-wrap-distance-left:9.0pt;mso-wrap-distance-top:0.0pt;mso-wrap-distance-right:9.0pt;mso-wrap-distance-bottom:0.0pt;z-index:251659264;o:allowoverlap:true;o:allowincell:true;mso-position-horizontal-relative:text;margin-left:3.4pt;mso-position-horizontal:absolute;mso-position-vertical-relative:text;margin-top:8.4pt;mso-position-vertical:absolute;width:414.8pt;height:0.0pt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0"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7"/>
      <w:ind w:right="3968"/>
      <w:rPr>
        <w:sz w:val="16"/>
        <w:szCs w:val="17"/>
      </w:rPr>
    </w:pPr>
    <w:r/>
    <w:bookmarkStart w:id="1" w:name="_Hlk33885723"/>
    <w:r/>
    <w:bookmarkStart w:id="2" w:name="_Hlk33885724"/>
    <w:r/>
    <w:bookmarkStart w:id="3" w:name="_Hlk33895896"/>
    <w:r/>
    <w:bookmarkStart w:id="4" w:name="_Hlk33895897"/>
    <w:r/>
    <w:bookmarkStart w:id="5" w:name="_Hlk33895939"/>
    <w:r/>
    <w:bookmarkStart w:id="6" w:name="_Hlk33895940"/>
    <w:r/>
    <w:bookmarkStart w:id="7" w:name="_Hlk33948838"/>
    <w:r/>
    <w:bookmarkStart w:id="8" w:name="_Hlk33948839"/>
    <w:r/>
    <w:bookmarkStart w:id="9" w:name="_Hlk33953468"/>
    <w:r/>
    <w:bookmarkStart w:id="10" w:name="_Hlk33953469"/>
    <w:r/>
    <w:bookmarkStart w:id="11" w:name="_Hlk33974381"/>
    <w:r/>
    <w:bookmarkStart w:id="12" w:name="_Hlk33974382"/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1" locked="0" layoutInCell="1" allowOverlap="1">
              <wp:simplePos x="0" y="0"/>
              <wp:positionH relativeFrom="margin">
                <wp:posOffset>5081270</wp:posOffset>
              </wp:positionH>
              <wp:positionV relativeFrom="paragraph">
                <wp:posOffset>-46506</wp:posOffset>
              </wp:positionV>
              <wp:extent cx="672245" cy="282091"/>
              <wp:effectExtent l="0" t="0" r="0" b="3810"/>
              <wp:wrapNone/>
              <wp:docPr id="3" name="Imagem 2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76415" cy="28384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2" o:spid="_x0000_s2" type="#_x0000_t75" style="position:absolute;mso-wrap-distance-left:9.0pt;mso-wrap-distance-top:0.0pt;mso-wrap-distance-right:9.0pt;mso-wrap-distance-bottom:0.0pt;z-index:-251666432;o:allowoverlap:true;o:allowincell:true;mso-position-horizontal-relative:margin;margin-left:400.1pt;mso-position-horizontal:absolute;mso-position-vertical-relative:text;margin-top:-3.7pt;mso-position-vertical:absolute;width:52.9pt;height:22.2pt;" stroked="f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Trabalho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>
      <w:rPr>
        <w:sz w:val="16"/>
        <w:szCs w:val="17"/>
      </w:rPr>
      <w:t xml:space="preserve">apresentad</w:t>
    </w:r>
    <w:r>
      <w:rPr>
        <w:sz w:val="16"/>
        <w:szCs w:val="17"/>
      </w:rPr>
      <w:t xml:space="preserve">o</w:t>
    </w:r>
    <w:r>
      <w:rPr>
        <w:sz w:val="16"/>
        <w:szCs w:val="17"/>
      </w:rPr>
      <w:t xml:space="preserve"> para obtenção do título de especialista em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Data Science e </w:t>
    </w:r>
    <w:r>
      <w:rPr>
        <w:sz w:val="16"/>
        <w:szCs w:val="17"/>
      </w:rPr>
      <w:t xml:space="preserve">Analytics</w:t>
    </w:r>
    <w:r>
      <w:rPr>
        <w:sz w:val="16"/>
        <w:szCs w:val="17"/>
      </w:rPr>
      <w:t xml:space="preserve"> – </w:t>
    </w:r>
    <w:r>
      <w:rPr>
        <w:sz w:val="16"/>
        <w:szCs w:val="17"/>
      </w:rPr>
      <w:t xml:space="preserve">2022</w:t>
    </w:r>
    <w:r/>
  </w:p>
  <w:p>
    <w:pPr>
      <w:pStyle w:val="1120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4" name="Conector reto 10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3" o:spid="_x0000_s3" o:spt="20" style="position:absolute;mso-wrap-distance-left:9.0pt;mso-wrap-distance-top:0.0pt;mso-wrap-distance-right:9.0pt;mso-wrap-distance-bottom:0.0pt;z-index:251660288;o:allowoverlap:true;o:allowincell:true;mso-position-horizontal-relative:margin;mso-position-horizontal:right;mso-position-vertical-relative:text;margin-top:8.4pt;mso-position-vertical:absolute;width:453.0pt;height:0.0pt;flip:y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bookmarkEnd w:id="1"/>
    <w:r/>
    <w:bookmarkEnd w:id="2"/>
    <w:r/>
    <w:bookmarkEnd w:id="3"/>
    <w:r/>
    <w:bookmarkEnd w:id="4"/>
    <w:r/>
    <w:bookmarkEnd w:id="5"/>
    <w:r/>
    <w:bookmarkEnd w:id="6"/>
    <w:r/>
    <w:bookmarkEnd w:id="7"/>
    <w:r/>
    <w:bookmarkEnd w:id="8"/>
    <w:r/>
    <w:bookmarkEnd w:id="9"/>
    <w:r/>
    <w:bookmarkEnd w:id="10"/>
    <w:r/>
    <w:bookmarkEnd w:id="11"/>
    <w:r/>
    <w:bookmarkEnd w:id="12"/>
    <w:r/>
    <w:r/>
  </w:p>
  <w:p>
    <w:pPr>
      <w:pStyle w:val="1120"/>
    </w:pPr>
    <w:r/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7"/>
      <w:ind w:right="3968"/>
      <w:rPr>
        <w:sz w:val="16"/>
        <w:szCs w:val="17"/>
      </w:rPr>
    </w:pPr>
    <w:r/>
    <w:bookmarkStart w:id="26" w:name="_Hlk33913842"/>
    <w:r/>
    <w:bookmarkStart w:id="27" w:name="_Hlk33913843"/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8480" behindDoc="1" locked="0" layoutInCell="1" allowOverlap="1">
              <wp:simplePos x="0" y="0"/>
              <wp:positionH relativeFrom="margin">
                <wp:posOffset>5100320</wp:posOffset>
              </wp:positionH>
              <wp:positionV relativeFrom="paragraph">
                <wp:posOffset>-38100</wp:posOffset>
              </wp:positionV>
              <wp:extent cx="673200" cy="282492"/>
              <wp:effectExtent l="0" t="0" r="0" b="3810"/>
              <wp:wrapNone/>
              <wp:docPr id="5" name="Imagem 3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73200" cy="2824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4" o:spid="_x0000_s4" type="#_x0000_t75" style="position:absolute;mso-wrap-distance-left:9.0pt;mso-wrap-distance-top:0.0pt;mso-wrap-distance-right:9.0pt;mso-wrap-distance-bottom:0.0pt;z-index:-251668480;o:allowoverlap:true;o:allowincell:true;mso-position-horizontal-relative:margin;margin-left:401.6pt;mso-position-horizontal:absolute;mso-position-vertical-relative:text;margin-top:-3.0pt;mso-position-vertical:absolute;width:53.0pt;height:22.2pt;" stroked="f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Trabalho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>
      <w:rPr>
        <w:sz w:val="16"/>
        <w:szCs w:val="17"/>
      </w:rPr>
      <w:t xml:space="preserve">apresentad</w:t>
    </w:r>
    <w:r>
      <w:rPr>
        <w:sz w:val="16"/>
        <w:szCs w:val="17"/>
      </w:rPr>
      <w:t xml:space="preserve">o</w:t>
    </w:r>
    <w:r>
      <w:rPr>
        <w:sz w:val="16"/>
        <w:szCs w:val="17"/>
      </w:rPr>
      <w:t xml:space="preserve"> para obtenção do título de especialista em </w:t>
    </w:r>
    <w:r>
      <w:rPr>
        <w:sz w:val="16"/>
        <w:szCs w:val="17"/>
      </w:rPr>
      <w:t xml:space="preserve">Data Science e </w:t>
    </w:r>
    <w:r>
      <w:rPr>
        <w:sz w:val="16"/>
        <w:szCs w:val="17"/>
      </w:rPr>
      <w:t xml:space="preserve">Analytics</w:t>
    </w:r>
    <w:r>
      <w:rPr>
        <w:sz w:val="16"/>
        <w:szCs w:val="17"/>
      </w:rPr>
      <w:t xml:space="preserve"> – </w:t>
    </w:r>
    <w:r>
      <w:rPr>
        <w:sz w:val="16"/>
        <w:szCs w:val="17"/>
      </w:rPr>
      <w:t xml:space="preserve">2022</w:t>
    </w:r>
    <w:r/>
  </w:p>
  <w:p>
    <w:pPr>
      <w:pStyle w:val="1120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4294967295" distL="114300" distR="114300" simplePos="0" relativeHeight="25166540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6" name="Conector reto 1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5" o:spid="_x0000_s5" o:spt="20" style="position:absolute;mso-wrap-distance-left:9.0pt;mso-wrap-distance-top:0.0pt;mso-wrap-distance-right:9.0pt;mso-wrap-distance-bottom:-169093.2pt;z-index:251665408;o:allowoverlap:true;o:allowincell:true;mso-position-horizontal-relative:margin;mso-position-horizontal:right;mso-position-vertical-relative:text;margin-top:8.4pt;mso-position-vertical:absolute;width:453.0pt;height:0.0pt;flip:y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bookmarkEnd w:id="26"/>
    <w:r/>
    <w:bookmarkEnd w:id="27"/>
    <w:r/>
    <w:r/>
  </w:p>
  <w:p>
    <w:pPr>
      <w:pStyle w:val="112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574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646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932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Theme="minorHAnsi" w:hint="default"/>
        <w:sz w:val="22"/>
        <w:szCs w:val="22"/>
        <w:lang w:val="pt-BR" w:bidi="ar-SA" w:eastAsia="en-US"/>
      </w:rPr>
    </w:rPrDefault>
    <w:pPrDefault>
      <w:pPr>
        <w:jc w:val="both"/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949">
    <w:name w:val="Heading 1"/>
    <w:basedOn w:val="1113"/>
    <w:next w:val="1113"/>
    <w:link w:val="950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950">
    <w:name w:val="Heading 1 Char"/>
    <w:basedOn w:val="1115"/>
    <w:link w:val="949"/>
    <w:uiPriority w:val="9"/>
    <w:rPr>
      <w:rFonts w:ascii="Arial" w:hAnsi="Arial" w:cs="Arial" w:eastAsia="Arial"/>
      <w:sz w:val="40"/>
      <w:szCs w:val="40"/>
    </w:rPr>
  </w:style>
  <w:style w:type="paragraph" w:styleId="951">
    <w:name w:val="Heading 3"/>
    <w:basedOn w:val="1113"/>
    <w:next w:val="1113"/>
    <w:link w:val="95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952">
    <w:name w:val="Heading 3 Char"/>
    <w:basedOn w:val="1115"/>
    <w:link w:val="951"/>
    <w:uiPriority w:val="9"/>
    <w:rPr>
      <w:rFonts w:ascii="Arial" w:hAnsi="Arial" w:cs="Arial" w:eastAsia="Arial"/>
      <w:sz w:val="30"/>
      <w:szCs w:val="30"/>
    </w:rPr>
  </w:style>
  <w:style w:type="paragraph" w:styleId="953">
    <w:name w:val="Heading 4"/>
    <w:basedOn w:val="1113"/>
    <w:next w:val="1113"/>
    <w:link w:val="95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954">
    <w:name w:val="Heading 4 Char"/>
    <w:basedOn w:val="1115"/>
    <w:link w:val="953"/>
    <w:uiPriority w:val="9"/>
    <w:rPr>
      <w:rFonts w:ascii="Arial" w:hAnsi="Arial" w:cs="Arial" w:eastAsia="Arial"/>
      <w:b/>
      <w:bCs/>
      <w:sz w:val="26"/>
      <w:szCs w:val="26"/>
    </w:rPr>
  </w:style>
  <w:style w:type="paragraph" w:styleId="955">
    <w:name w:val="Heading 5"/>
    <w:basedOn w:val="1113"/>
    <w:next w:val="1113"/>
    <w:link w:val="95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956">
    <w:name w:val="Heading 5 Char"/>
    <w:basedOn w:val="1115"/>
    <w:link w:val="955"/>
    <w:uiPriority w:val="9"/>
    <w:rPr>
      <w:rFonts w:ascii="Arial" w:hAnsi="Arial" w:cs="Arial" w:eastAsia="Arial"/>
      <w:b/>
      <w:bCs/>
      <w:sz w:val="24"/>
      <w:szCs w:val="24"/>
    </w:rPr>
  </w:style>
  <w:style w:type="paragraph" w:styleId="957">
    <w:name w:val="Heading 6"/>
    <w:basedOn w:val="1113"/>
    <w:next w:val="1113"/>
    <w:link w:val="95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958">
    <w:name w:val="Heading 6 Char"/>
    <w:basedOn w:val="1115"/>
    <w:link w:val="957"/>
    <w:uiPriority w:val="9"/>
    <w:rPr>
      <w:rFonts w:ascii="Arial" w:hAnsi="Arial" w:cs="Arial" w:eastAsia="Arial"/>
      <w:b/>
      <w:bCs/>
      <w:sz w:val="22"/>
      <w:szCs w:val="22"/>
    </w:rPr>
  </w:style>
  <w:style w:type="paragraph" w:styleId="959">
    <w:name w:val="Heading 7"/>
    <w:basedOn w:val="1113"/>
    <w:next w:val="1113"/>
    <w:link w:val="96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960">
    <w:name w:val="Heading 7 Char"/>
    <w:basedOn w:val="1115"/>
    <w:link w:val="95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961">
    <w:name w:val="Heading 8"/>
    <w:basedOn w:val="1113"/>
    <w:next w:val="1113"/>
    <w:link w:val="96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962">
    <w:name w:val="Heading 8 Char"/>
    <w:basedOn w:val="1115"/>
    <w:link w:val="961"/>
    <w:uiPriority w:val="9"/>
    <w:rPr>
      <w:rFonts w:ascii="Arial" w:hAnsi="Arial" w:cs="Arial" w:eastAsia="Arial"/>
      <w:i/>
      <w:iCs/>
      <w:sz w:val="22"/>
      <w:szCs w:val="22"/>
    </w:rPr>
  </w:style>
  <w:style w:type="paragraph" w:styleId="963">
    <w:name w:val="Heading 9"/>
    <w:basedOn w:val="1113"/>
    <w:next w:val="1113"/>
    <w:link w:val="96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964">
    <w:name w:val="Heading 9 Char"/>
    <w:basedOn w:val="1115"/>
    <w:link w:val="963"/>
    <w:uiPriority w:val="9"/>
    <w:rPr>
      <w:rFonts w:ascii="Arial" w:hAnsi="Arial" w:cs="Arial" w:eastAsia="Arial"/>
      <w:i/>
      <w:iCs/>
      <w:sz w:val="21"/>
      <w:szCs w:val="21"/>
    </w:rPr>
  </w:style>
  <w:style w:type="paragraph" w:styleId="965">
    <w:name w:val="Title"/>
    <w:basedOn w:val="1113"/>
    <w:next w:val="1113"/>
    <w:link w:val="96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966">
    <w:name w:val="Title Char"/>
    <w:basedOn w:val="1115"/>
    <w:link w:val="965"/>
    <w:uiPriority w:val="10"/>
    <w:rPr>
      <w:sz w:val="48"/>
      <w:szCs w:val="48"/>
    </w:rPr>
  </w:style>
  <w:style w:type="paragraph" w:styleId="967">
    <w:name w:val="Subtitle"/>
    <w:basedOn w:val="1113"/>
    <w:next w:val="1113"/>
    <w:link w:val="968"/>
    <w:uiPriority w:val="11"/>
    <w:qFormat/>
    <w:pPr>
      <w:spacing w:before="200" w:after="200"/>
    </w:pPr>
    <w:rPr>
      <w:sz w:val="24"/>
      <w:szCs w:val="24"/>
    </w:rPr>
  </w:style>
  <w:style w:type="character" w:styleId="968">
    <w:name w:val="Subtitle Char"/>
    <w:basedOn w:val="1115"/>
    <w:link w:val="967"/>
    <w:uiPriority w:val="11"/>
    <w:rPr>
      <w:sz w:val="24"/>
      <w:szCs w:val="24"/>
    </w:rPr>
  </w:style>
  <w:style w:type="paragraph" w:styleId="969">
    <w:name w:val="Quote"/>
    <w:basedOn w:val="1113"/>
    <w:next w:val="1113"/>
    <w:link w:val="970"/>
    <w:uiPriority w:val="29"/>
    <w:qFormat/>
    <w:pPr>
      <w:ind w:left="720" w:right="720"/>
    </w:pPr>
    <w:rPr>
      <w:i/>
    </w:rPr>
  </w:style>
  <w:style w:type="character" w:styleId="970">
    <w:name w:val="Quote Char"/>
    <w:link w:val="969"/>
    <w:uiPriority w:val="29"/>
    <w:rPr>
      <w:i/>
    </w:rPr>
  </w:style>
  <w:style w:type="paragraph" w:styleId="971">
    <w:name w:val="Intense Quote"/>
    <w:basedOn w:val="1113"/>
    <w:next w:val="1113"/>
    <w:link w:val="97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972">
    <w:name w:val="Intense Quote Char"/>
    <w:link w:val="971"/>
    <w:uiPriority w:val="30"/>
    <w:rPr>
      <w:i/>
    </w:rPr>
  </w:style>
  <w:style w:type="character" w:styleId="973">
    <w:name w:val="Caption Char"/>
    <w:basedOn w:val="1130"/>
    <w:link w:val="1122"/>
    <w:uiPriority w:val="99"/>
  </w:style>
  <w:style w:type="table" w:styleId="974">
    <w:name w:val="Table Grid"/>
    <w:basedOn w:val="111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75">
    <w:name w:val="Table Grid Light"/>
    <w:basedOn w:val="11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76">
    <w:name w:val="Plain Table 1"/>
    <w:basedOn w:val="11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77">
    <w:name w:val="Grid Table 1 Light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8">
    <w:name w:val="Grid Table 1 Light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9">
    <w:name w:val="Grid Table 1 Light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0">
    <w:name w:val="Grid Table 1 Light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1">
    <w:name w:val="Grid Table 1 Light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2">
    <w:name w:val="Grid Table 1 Light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3">
    <w:name w:val="Grid Table 1 Light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4">
    <w:name w:val="Grid Table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5">
    <w:name w:val="Grid Table 2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6">
    <w:name w:val="Grid Table 2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7">
    <w:name w:val="Grid Table 2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8">
    <w:name w:val="Grid Table 2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9">
    <w:name w:val="Grid Table 2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0">
    <w:name w:val="Grid Table 2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1">
    <w:name w:val="Grid Table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2">
    <w:name w:val="Grid Table 3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3">
    <w:name w:val="Grid Table 3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4">
    <w:name w:val="Grid Table 3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5">
    <w:name w:val="Grid Table 3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6">
    <w:name w:val="Grid Table 3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7">
    <w:name w:val="Grid Table 3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8">
    <w:name w:val="Grid Table 4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99">
    <w:name w:val="Grid Table 4 - Accent 1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000">
    <w:name w:val="Grid Table 4 - Accent 2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001">
    <w:name w:val="Grid Table 4 - Accent 3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002">
    <w:name w:val="Grid Table 4 - Accent 4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003">
    <w:name w:val="Grid Table 4 - Accent 5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004">
    <w:name w:val="Grid Table 4 - Accent 6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005">
    <w:name w:val="Grid Table 5 Dark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006">
    <w:name w:val="Grid Table 5 Dark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007">
    <w:name w:val="Grid Table 5 Dark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008">
    <w:name w:val="Grid Table 5 Dark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009">
    <w:name w:val="Grid Table 5 Dark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010">
    <w:name w:val="Grid Table 5 Dark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011">
    <w:name w:val="Grid Table 5 Dark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012">
    <w:name w:val="Grid Table 6 Colorful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013">
    <w:name w:val="Grid Table 6 Colorful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014">
    <w:name w:val="Grid Table 6 Colorful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015">
    <w:name w:val="Grid Table 6 Colorful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016">
    <w:name w:val="Grid Table 6 Colorful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017">
    <w:name w:val="Grid Table 6 Colorful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18">
    <w:name w:val="Grid Table 6 Colorful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19">
    <w:name w:val="Grid Table 7 Colorful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0">
    <w:name w:val="Grid Table 7 Colorful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1">
    <w:name w:val="Grid Table 7 Colorful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2">
    <w:name w:val="Grid Table 7 Colorful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3">
    <w:name w:val="Grid Table 7 Colorful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4">
    <w:name w:val="Grid Table 7 Colorful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5">
    <w:name w:val="Grid Table 7 Colorful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6">
    <w:name w:val="List Table 1 Light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7">
    <w:name w:val="List Table 1 Light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8">
    <w:name w:val="List Table 1 Light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9">
    <w:name w:val="List Table 1 Light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0">
    <w:name w:val="List Table 1 Light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1">
    <w:name w:val="List Table 1 Light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2">
    <w:name w:val="List Table 1 Light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3">
    <w:name w:val="List Table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034">
    <w:name w:val="List Table 2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035">
    <w:name w:val="List Table 2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036">
    <w:name w:val="List Table 2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037">
    <w:name w:val="List Table 2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038">
    <w:name w:val="List Table 2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039">
    <w:name w:val="List Table 2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040">
    <w:name w:val="List Table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1">
    <w:name w:val="List Table 3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2">
    <w:name w:val="List Table 3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3">
    <w:name w:val="List Table 3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4">
    <w:name w:val="List Table 3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5">
    <w:name w:val="List Table 3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6">
    <w:name w:val="List Table 3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7">
    <w:name w:val="List Table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8">
    <w:name w:val="List Table 4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9">
    <w:name w:val="List Table 4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0">
    <w:name w:val="List Table 4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1">
    <w:name w:val="List Table 4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2">
    <w:name w:val="List Table 4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3">
    <w:name w:val="List Table 4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4">
    <w:name w:val="List Table 5 Dark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5">
    <w:name w:val="List Table 5 Dark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6">
    <w:name w:val="List Table 5 Dark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7">
    <w:name w:val="List Table 5 Dark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8">
    <w:name w:val="List Table 5 Dark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9">
    <w:name w:val="List Table 5 Dark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60">
    <w:name w:val="List Table 5 Dark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61">
    <w:name w:val="List Table 6 Colorful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062">
    <w:name w:val="List Table 6 Colorful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063">
    <w:name w:val="List Table 6 Colorful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064">
    <w:name w:val="List Table 6 Colorful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065">
    <w:name w:val="List Table 6 Colorful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066">
    <w:name w:val="List Table 6 Colorful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067">
    <w:name w:val="List Table 6 Colorful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068">
    <w:name w:val="List Table 7 Colorful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069">
    <w:name w:val="List Table 7 Colorful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070">
    <w:name w:val="List Table 7 Colorful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071">
    <w:name w:val="List Table 7 Colorful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072">
    <w:name w:val="List Table 7 Colorful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073">
    <w:name w:val="List Table 7 Colorful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074">
    <w:name w:val="List Table 7 Colorful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075">
    <w:name w:val="Lined - Accent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76">
    <w:name w:val="Lined - Accent 1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077">
    <w:name w:val="Lined - Accent 2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078">
    <w:name w:val="Lined - Accent 3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079">
    <w:name w:val="Lined - Accent 4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080">
    <w:name w:val="Lined - Accent 5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081">
    <w:name w:val="Lined - Accent 6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082">
    <w:name w:val="Bordered &amp; Lined - Accent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83">
    <w:name w:val="Bordered &amp; Lined - Accent 1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084">
    <w:name w:val="Bordered &amp; Lined - Accent 2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085">
    <w:name w:val="Bordered &amp; Lined - Accent 3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086">
    <w:name w:val="Bordered &amp; Lined - Accent 4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087">
    <w:name w:val="Bordered &amp; Lined - Accent 5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088">
    <w:name w:val="Bordered &amp; Lined - Accent 6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089">
    <w:name w:val="Bordered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90">
    <w:name w:val="Bordered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91">
    <w:name w:val="Bordered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92">
    <w:name w:val="Bordered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93">
    <w:name w:val="Bordered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94">
    <w:name w:val="Bordered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95">
    <w:name w:val="Bordered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096">
    <w:name w:val="footnote text"/>
    <w:basedOn w:val="1113"/>
    <w:link w:val="1097"/>
    <w:uiPriority w:val="99"/>
    <w:semiHidden/>
    <w:unhideWhenUsed/>
    <w:pPr>
      <w:spacing w:after="40" w:line="240" w:lineRule="auto"/>
    </w:pPr>
    <w:rPr>
      <w:sz w:val="18"/>
    </w:rPr>
  </w:style>
  <w:style w:type="character" w:styleId="1097">
    <w:name w:val="Footnote Text Char"/>
    <w:link w:val="1096"/>
    <w:uiPriority w:val="99"/>
    <w:rPr>
      <w:sz w:val="18"/>
    </w:rPr>
  </w:style>
  <w:style w:type="character" w:styleId="1098">
    <w:name w:val="footnote reference"/>
    <w:basedOn w:val="1115"/>
    <w:uiPriority w:val="99"/>
    <w:unhideWhenUsed/>
    <w:rPr>
      <w:vertAlign w:val="superscript"/>
    </w:rPr>
  </w:style>
  <w:style w:type="paragraph" w:styleId="1099">
    <w:name w:val="endnote text"/>
    <w:basedOn w:val="1113"/>
    <w:link w:val="1100"/>
    <w:uiPriority w:val="99"/>
    <w:semiHidden/>
    <w:unhideWhenUsed/>
    <w:pPr>
      <w:spacing w:after="0" w:line="240" w:lineRule="auto"/>
    </w:pPr>
    <w:rPr>
      <w:sz w:val="20"/>
    </w:rPr>
  </w:style>
  <w:style w:type="character" w:styleId="1100">
    <w:name w:val="Endnote Text Char"/>
    <w:link w:val="1099"/>
    <w:uiPriority w:val="99"/>
    <w:rPr>
      <w:sz w:val="20"/>
    </w:rPr>
  </w:style>
  <w:style w:type="character" w:styleId="1101">
    <w:name w:val="endnote reference"/>
    <w:basedOn w:val="1115"/>
    <w:uiPriority w:val="99"/>
    <w:semiHidden/>
    <w:unhideWhenUsed/>
    <w:rPr>
      <w:vertAlign w:val="superscript"/>
    </w:rPr>
  </w:style>
  <w:style w:type="paragraph" w:styleId="1102">
    <w:name w:val="toc 1"/>
    <w:basedOn w:val="1113"/>
    <w:next w:val="1113"/>
    <w:uiPriority w:val="39"/>
    <w:unhideWhenUsed/>
    <w:pPr>
      <w:ind w:left="0" w:right="0" w:firstLine="0"/>
      <w:spacing w:after="57"/>
    </w:pPr>
  </w:style>
  <w:style w:type="paragraph" w:styleId="1103">
    <w:name w:val="toc 2"/>
    <w:basedOn w:val="1113"/>
    <w:next w:val="1113"/>
    <w:uiPriority w:val="39"/>
    <w:unhideWhenUsed/>
    <w:pPr>
      <w:ind w:left="283" w:right="0" w:firstLine="0"/>
      <w:spacing w:after="57"/>
    </w:pPr>
  </w:style>
  <w:style w:type="paragraph" w:styleId="1104">
    <w:name w:val="toc 3"/>
    <w:basedOn w:val="1113"/>
    <w:next w:val="1113"/>
    <w:uiPriority w:val="39"/>
    <w:unhideWhenUsed/>
    <w:pPr>
      <w:ind w:left="567" w:right="0" w:firstLine="0"/>
      <w:spacing w:after="57"/>
    </w:pPr>
  </w:style>
  <w:style w:type="paragraph" w:styleId="1105">
    <w:name w:val="toc 4"/>
    <w:basedOn w:val="1113"/>
    <w:next w:val="1113"/>
    <w:uiPriority w:val="39"/>
    <w:unhideWhenUsed/>
    <w:pPr>
      <w:ind w:left="850" w:right="0" w:firstLine="0"/>
      <w:spacing w:after="57"/>
    </w:pPr>
  </w:style>
  <w:style w:type="paragraph" w:styleId="1106">
    <w:name w:val="toc 5"/>
    <w:basedOn w:val="1113"/>
    <w:next w:val="1113"/>
    <w:uiPriority w:val="39"/>
    <w:unhideWhenUsed/>
    <w:pPr>
      <w:ind w:left="1134" w:right="0" w:firstLine="0"/>
      <w:spacing w:after="57"/>
    </w:pPr>
  </w:style>
  <w:style w:type="paragraph" w:styleId="1107">
    <w:name w:val="toc 6"/>
    <w:basedOn w:val="1113"/>
    <w:next w:val="1113"/>
    <w:uiPriority w:val="39"/>
    <w:unhideWhenUsed/>
    <w:pPr>
      <w:ind w:left="1417" w:right="0" w:firstLine="0"/>
      <w:spacing w:after="57"/>
    </w:pPr>
  </w:style>
  <w:style w:type="paragraph" w:styleId="1108">
    <w:name w:val="toc 7"/>
    <w:basedOn w:val="1113"/>
    <w:next w:val="1113"/>
    <w:uiPriority w:val="39"/>
    <w:unhideWhenUsed/>
    <w:pPr>
      <w:ind w:left="1701" w:right="0" w:firstLine="0"/>
      <w:spacing w:after="57"/>
    </w:pPr>
  </w:style>
  <w:style w:type="paragraph" w:styleId="1109">
    <w:name w:val="toc 8"/>
    <w:basedOn w:val="1113"/>
    <w:next w:val="1113"/>
    <w:uiPriority w:val="39"/>
    <w:unhideWhenUsed/>
    <w:pPr>
      <w:ind w:left="1984" w:right="0" w:firstLine="0"/>
      <w:spacing w:after="57"/>
    </w:pPr>
  </w:style>
  <w:style w:type="paragraph" w:styleId="1110">
    <w:name w:val="toc 9"/>
    <w:basedOn w:val="1113"/>
    <w:next w:val="1113"/>
    <w:uiPriority w:val="39"/>
    <w:unhideWhenUsed/>
    <w:pPr>
      <w:ind w:left="2268" w:right="0" w:firstLine="0"/>
      <w:spacing w:after="57"/>
    </w:pPr>
  </w:style>
  <w:style w:type="paragraph" w:styleId="1111">
    <w:name w:val="TOC Heading"/>
    <w:uiPriority w:val="39"/>
    <w:unhideWhenUsed/>
  </w:style>
  <w:style w:type="paragraph" w:styleId="1112">
    <w:name w:val="table of figures"/>
    <w:basedOn w:val="1113"/>
    <w:next w:val="1113"/>
    <w:uiPriority w:val="99"/>
    <w:unhideWhenUsed/>
    <w:pPr>
      <w:spacing w:after="0" w:afterAutospacing="0"/>
    </w:pPr>
  </w:style>
  <w:style w:type="paragraph" w:styleId="1113" w:default="1">
    <w:name w:val="Normal"/>
    <w:qFormat/>
  </w:style>
  <w:style w:type="paragraph" w:styleId="1114">
    <w:name w:val="Heading 2"/>
    <w:basedOn w:val="1113"/>
    <w:next w:val="1113"/>
    <w:link w:val="1118"/>
    <w:uiPriority w:val="9"/>
    <w:unhideWhenUsed/>
    <w:qFormat/>
    <w:pPr>
      <w:jc w:val="left"/>
      <w:keepLines/>
      <w:keepNext/>
      <w:spacing w:before="200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character" w:styleId="1115" w:default="1">
    <w:name w:val="Default Paragraph Font"/>
    <w:uiPriority w:val="1"/>
    <w:semiHidden/>
    <w:unhideWhenUsed/>
  </w:style>
  <w:style w:type="table" w:styleId="11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117" w:default="1">
    <w:name w:val="No List"/>
    <w:uiPriority w:val="99"/>
    <w:semiHidden/>
    <w:unhideWhenUsed/>
  </w:style>
  <w:style w:type="character" w:styleId="1118" w:customStyle="1">
    <w:name w:val="Heading 2 Char"/>
    <w:basedOn w:val="1115"/>
    <w:link w:val="1114"/>
    <w:uiPriority w:val="9"/>
    <w:rPr>
      <w:rFonts w:ascii="Arial" w:hAnsi="Arial" w:eastAsiaTheme="majorEastAsia" w:cstheme="majorBidi"/>
      <w:b/>
      <w:bCs/>
      <w:color w:val="000000" w:themeColor="text1"/>
      <w:szCs w:val="26"/>
      <w:lang w:val="en-US"/>
    </w:rPr>
  </w:style>
  <w:style w:type="character" w:styleId="1119">
    <w:name w:val="line number"/>
    <w:basedOn w:val="1115"/>
    <w:uiPriority w:val="99"/>
    <w:semiHidden/>
    <w:unhideWhenUsed/>
  </w:style>
  <w:style w:type="paragraph" w:styleId="1120">
    <w:name w:val="Header"/>
    <w:basedOn w:val="1113"/>
    <w:link w:val="1121"/>
    <w:uiPriority w:val="99"/>
    <w:unhideWhenUsed/>
    <w:pPr>
      <w:spacing w:line="240" w:lineRule="auto"/>
      <w:tabs>
        <w:tab w:val="center" w:pos="4252" w:leader="none"/>
        <w:tab w:val="right" w:pos="8504" w:leader="none"/>
      </w:tabs>
    </w:pPr>
  </w:style>
  <w:style w:type="character" w:styleId="1121" w:customStyle="1">
    <w:name w:val="Header Char"/>
    <w:basedOn w:val="1115"/>
    <w:link w:val="1120"/>
    <w:uiPriority w:val="99"/>
  </w:style>
  <w:style w:type="paragraph" w:styleId="1122">
    <w:name w:val="Footer"/>
    <w:basedOn w:val="1113"/>
    <w:link w:val="1123"/>
    <w:uiPriority w:val="99"/>
    <w:unhideWhenUsed/>
    <w:pPr>
      <w:spacing w:line="240" w:lineRule="auto"/>
      <w:tabs>
        <w:tab w:val="center" w:pos="4252" w:leader="none"/>
        <w:tab w:val="right" w:pos="8504" w:leader="none"/>
      </w:tabs>
    </w:pPr>
  </w:style>
  <w:style w:type="character" w:styleId="1123" w:customStyle="1">
    <w:name w:val="Footer Char"/>
    <w:basedOn w:val="1115"/>
    <w:link w:val="1122"/>
    <w:uiPriority w:val="99"/>
  </w:style>
  <w:style w:type="character" w:styleId="1124">
    <w:name w:val="Hyperlink"/>
    <w:basedOn w:val="1115"/>
    <w:uiPriority w:val="99"/>
    <w:unhideWhenUsed/>
    <w:rPr>
      <w:color w:val="0000FF" w:themeColor="hyperlink"/>
      <w:u w:val="single"/>
    </w:rPr>
  </w:style>
  <w:style w:type="paragraph" w:styleId="1125">
    <w:name w:val="Balloon Text"/>
    <w:basedOn w:val="1113"/>
    <w:link w:val="1126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styleId="1126" w:customStyle="1">
    <w:name w:val="Balloon Text Char"/>
    <w:basedOn w:val="1115"/>
    <w:link w:val="1125"/>
    <w:uiPriority w:val="99"/>
    <w:semiHidden/>
    <w:rPr>
      <w:rFonts w:ascii="Tahoma" w:hAnsi="Tahoma" w:cs="Tahoma"/>
      <w:sz w:val="16"/>
      <w:szCs w:val="16"/>
    </w:rPr>
  </w:style>
  <w:style w:type="paragraph" w:styleId="1127">
    <w:name w:val="No Spacing"/>
    <w:uiPriority w:val="1"/>
    <w:qFormat/>
    <w:pPr>
      <w:spacing w:line="240" w:lineRule="auto"/>
    </w:pPr>
  </w:style>
  <w:style w:type="paragraph" w:styleId="1128">
    <w:name w:val="List Paragraph"/>
    <w:basedOn w:val="1113"/>
    <w:uiPriority w:val="34"/>
    <w:qFormat/>
    <w:pPr>
      <w:contextualSpacing/>
      <w:ind w:left="720"/>
    </w:pPr>
  </w:style>
  <w:style w:type="character" w:styleId="1129">
    <w:name w:val="Unresolved Mention"/>
    <w:basedOn w:val="1115"/>
    <w:uiPriority w:val="99"/>
    <w:semiHidden/>
    <w:unhideWhenUsed/>
    <w:rPr>
      <w:color w:val="605E5C"/>
      <w:shd w:val="clear" w:color="auto" w:fill="e1dfdd"/>
    </w:rPr>
  </w:style>
  <w:style w:type="paragraph" w:styleId="1130">
    <w:name w:val="Caption"/>
    <w:basedOn w:val="1113"/>
    <w:next w:val="1113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1131">
    <w:name w:val="Plain Table 2"/>
    <w:basedOn w:val="1116"/>
    <w:uiPriority w:val="42"/>
    <w:pPr>
      <w:spacing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  <w:tblStylePr w:type="band1Vert"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7F7F7F" w:themeColor="text1" w:themeTint="80" w:sz="4" w:space="0"/>
        </w:tcBorders>
      </w:tcPr>
    </w:tblStylePr>
  </w:style>
  <w:style w:type="table" w:styleId="1132">
    <w:name w:val="Plain Table 3"/>
    <w:basedOn w:val="1116"/>
    <w:uiPriority w:val="43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b/>
        <w:bCs/>
        <w:caps/>
      </w:rPr>
      <w:tcPr>
        <w:tcBorders>
          <w:right w:val="single" w:color="7F7F7F" w:themeColor="text1" w:themeTint="80" w:sz="4" w:space="0"/>
        </w:tcBorders>
      </w:tcPr>
    </w:tblStylePr>
    <w:tblStylePr w:type="firstRow">
      <w:rPr>
        <w:b/>
        <w:bCs/>
        <w:caps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one" w:color="000000" w:sz="4" w:space="0"/>
        </w:tcBorders>
      </w:tcPr>
    </w:tblStylePr>
    <w:tblStylePr w:type="lastRow">
      <w:rPr>
        <w:b/>
        <w:bCs/>
        <w:caps/>
      </w:rPr>
      <w:tcPr>
        <w:tcBorders>
          <w:top w:val="none" w:color="00000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</w:style>
  <w:style w:type="table" w:styleId="1133">
    <w:name w:val="Plain Table 4"/>
    <w:basedOn w:val="1116"/>
    <w:uiPriority w:val="44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b/>
        <w:bCs/>
      </w:rPr>
    </w:tblStylePr>
    <w:tblStylePr w:type="firstRow">
      <w:rPr>
        <w:b/>
        <w:bCs/>
      </w:rPr>
    </w:tblStylePr>
    <w:tblStylePr w:type="lastCol">
      <w:rPr>
        <w:b/>
        <w:bCs/>
      </w:rPr>
    </w:tblStylePr>
    <w:tblStylePr w:type="lastRow">
      <w:rPr>
        <w:b/>
        <w:bCs/>
      </w:rPr>
    </w:tblStylePr>
  </w:style>
  <w:style w:type="table" w:styleId="1134">
    <w:name w:val="Grid Table Light"/>
    <w:basedOn w:val="1116"/>
    <w:uiPriority w:val="40"/>
    <w:pPr>
      <w:spacing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1135">
    <w:name w:val="Plain Table 5"/>
    <w:basedOn w:val="1116"/>
    <w:uiPriority w:val="45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table" w:styleId="1136">
    <w:name w:val="Grid Table 1 Light Accent 1"/>
    <w:basedOn w:val="1116"/>
    <w:uiPriority w:val="46"/>
    <w:pPr>
      <w:spacing w:line="240" w:lineRule="auto"/>
    </w:pPr>
    <w:tblPr>
      <w:tblStyleRowBandSize w:val="1"/>
      <w:tblStyleColBandSize w:val="1"/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5B3D7" w:themeColor="accent1" w:themeTint="99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5B3D7" w:themeColor="accent1" w:themeTint="99" w:sz="2" w:space="0"/>
        </w:tcBorders>
      </w:tcPr>
    </w:tblStylePr>
  </w:style>
  <w:style w:type="character" w:styleId="1137">
    <w:name w:val="FollowedHyperlink"/>
    <w:basedOn w:val="1115"/>
    <w:uiPriority w:val="99"/>
    <w:semiHidden/>
    <w:unhideWhenUsed/>
    <w:rPr>
      <w:color w:val="800080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footer" Target="footer1.xml" /><Relationship Id="rId14" Type="http://schemas.openxmlformats.org/officeDocument/2006/relationships/footer" Target="footer2.xml" /><Relationship Id="rId15" Type="http://schemas.openxmlformats.org/officeDocument/2006/relationships/footer" Target="footer3.xml" /><Relationship Id="rId16" Type="http://schemas.openxmlformats.org/officeDocument/2006/relationships/footer" Target="footer4.xml" /><Relationship Id="rId17" Type="http://schemas.openxmlformats.org/officeDocument/2006/relationships/footer" Target="footer5.xml" /><Relationship Id="rId18" Type="http://schemas.openxmlformats.org/officeDocument/2006/relationships/customXml" Target="../customXml/item1.xml" 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er5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Escritório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Company>Microsoft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revision>94</cp:revision>
  <dcterms:created xsi:type="dcterms:W3CDTF">2022-08-28T22:41:00Z</dcterms:created>
  <dcterms:modified xsi:type="dcterms:W3CDTF">2022-09-13T02:29:07Z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86c2b39-4223-4d15-bcb9-787ea17e6435_Enabled">
    <vt:lpwstr>true</vt:lpwstr>
  </property>
  <property fmtid="{D5CDD505-2E9C-101B-9397-08002B2CF9AE}" pid="3" name="MSIP_Label_086c2b39-4223-4d15-bcb9-787ea17e6435_SetDate">
    <vt:lpwstr>2022-03-03T16:37:04Z</vt:lpwstr>
  </property>
  <property fmtid="{D5CDD505-2E9C-101B-9397-08002B2CF9AE}" pid="4" name="MSIP_Label_086c2b39-4223-4d15-bcb9-787ea17e6435_Method">
    <vt:lpwstr>Standard</vt:lpwstr>
  </property>
  <property fmtid="{D5CDD505-2E9C-101B-9397-08002B2CF9AE}" pid="5" name="MSIP_Label_086c2b39-4223-4d15-bcb9-787ea17e6435_Name">
    <vt:lpwstr>086c2b39-4223-4d15-bcb9-787ea17e6435</vt:lpwstr>
  </property>
  <property fmtid="{D5CDD505-2E9C-101B-9397-08002B2CF9AE}" pid="6" name="MSIP_Label_086c2b39-4223-4d15-bcb9-787ea17e6435_SiteId">
    <vt:lpwstr>7575b092-fc5f-4f6c-b7a5-9e9ef7aca80d</vt:lpwstr>
  </property>
  <property fmtid="{D5CDD505-2E9C-101B-9397-08002B2CF9AE}" pid="7" name="MSIP_Label_086c2b39-4223-4d15-bcb9-787ea17e6435_ActionId">
    <vt:lpwstr>9e10672c-4546-4b33-b58c-10d77a6d5e32</vt:lpwstr>
  </property>
  <property fmtid="{D5CDD505-2E9C-101B-9397-08002B2CF9AE}" pid="8" name="MSIP_Label_086c2b39-4223-4d15-bcb9-787ea17e6435_ContentBits">
    <vt:lpwstr>0</vt:lpwstr>
  </property>
</Properties>
</file>