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1F5A13" w:rsidP="007B4CF5">
            <w:pPr>
              <w:spacing w:before="40" w:after="40" w:line="240" w:lineRule="auto"/>
            </w:pPr>
            <w:r>
              <w:t>SSW 1.2.1 (d) (ii)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1F5A13" w:rsidP="007B4CF5">
            <w:pPr>
              <w:spacing w:before="40" w:after="40" w:line="240" w:lineRule="auto"/>
            </w:pPr>
            <w:r>
              <w:t>Standard Pipe Diameter for Minor Sewers to Public Sewer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F5A13" w:rsidP="007B4CF5">
            <w:pPr>
              <w:spacing w:before="40" w:after="40" w:line="240" w:lineRule="auto"/>
            </w:pPr>
            <w:r>
              <w:t>Part 1 Planning &amp; Design Requirements For Development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F5A13" w:rsidP="007B4CF5">
            <w:pPr>
              <w:spacing w:before="40" w:after="40" w:line="240" w:lineRule="auto"/>
            </w:pPr>
            <w:r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F5A13" w:rsidRDefault="001F5A13" w:rsidP="001F5A13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1F5A13" w:rsidP="001F5A13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1F5A13" w:rsidP="007B4CF5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82037B" w:rsidRDefault="0082037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CE1880" w:rsidP="00F8472C">
            <w:pPr>
              <w:spacing w:before="40" w:after="40"/>
            </w:pPr>
            <w:r>
              <w:rPr>
                <w:noProof/>
                <w:lang w:val="en-PH" w:eastAsia="zh-TW"/>
              </w:rPr>
              <w:t xml:space="preserve"> </w:t>
            </w:r>
            <w:r>
              <w:rPr>
                <w:noProof/>
                <w:lang w:val="en-PH" w:eastAsia="zh-TW"/>
              </w:rPr>
              <w:drawing>
                <wp:inline distT="0" distB="0" distL="0" distR="0" wp14:anchorId="5020A760" wp14:editId="51ECD0C5">
                  <wp:extent cx="5943600" cy="353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636FA"/>
    <w:rsid w:val="001F5A13"/>
    <w:rsid w:val="00654E2F"/>
    <w:rsid w:val="006568DA"/>
    <w:rsid w:val="007B4CF5"/>
    <w:rsid w:val="0082037B"/>
    <w:rsid w:val="0082341D"/>
    <w:rsid w:val="00877566"/>
    <w:rsid w:val="009F7733"/>
    <w:rsid w:val="00CE1880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4</cp:revision>
  <dcterms:created xsi:type="dcterms:W3CDTF">2018-10-31T02:46:00Z</dcterms:created>
  <dcterms:modified xsi:type="dcterms:W3CDTF">2018-10-31T03:00:00Z</dcterms:modified>
</cp:coreProperties>
</file>