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FC4A48" w:rsidP="007B4CF5">
            <w:pPr>
              <w:spacing w:before="40" w:after="40" w:line="240" w:lineRule="auto"/>
            </w:pPr>
            <w:r>
              <w:t>SWD 9.12.2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FC4A48" w:rsidP="007B4CF5">
            <w:pPr>
              <w:spacing w:before="40" w:after="40" w:line="240" w:lineRule="auto"/>
            </w:pPr>
            <w:r>
              <w:t>Culvert crossing the road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FC4A48" w:rsidP="007B4CF5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FC4A48" w:rsidP="00103554">
            <w:pPr>
              <w:spacing w:before="40" w:after="40" w:line="240" w:lineRule="auto"/>
            </w:pPr>
            <w:r>
              <w:t xml:space="preserve">9.12 </w:t>
            </w:r>
            <w:r w:rsidRPr="00D60925">
              <w:t>Grating over Closed Drain/Culvert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FC4A48" w:rsidRDefault="00FC4A48" w:rsidP="00FC4A48">
            <w:pPr>
              <w:spacing w:before="40" w:after="40" w:line="240" w:lineRule="auto"/>
            </w:pPr>
            <w:r>
              <w:t>Code of Practice on Surface Water Drainage</w:t>
            </w:r>
          </w:p>
          <w:p w:rsidR="007B4CF5" w:rsidRDefault="00FC4A48" w:rsidP="00FC4A48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FC4A4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FC4A48" w:rsidRDefault="00FC4A48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 wp14:anchorId="6713843B" wp14:editId="72C4A77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240018</wp:posOffset>
                  </wp:positionV>
                  <wp:extent cx="5943600" cy="370903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4CF5" w:rsidRPr="00FC4A48" w:rsidRDefault="00FC4A48" w:rsidP="00FC4A48">
            <w:pPr>
              <w:tabs>
                <w:tab w:val="left" w:pos="2754"/>
              </w:tabs>
            </w:pPr>
            <w:bookmarkStart w:id="0" w:name="_GoBack"/>
            <w:bookmarkEnd w:id="0"/>
            <w:r>
              <w:tab/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6358E5"/>
    <w:rsid w:val="00654E2F"/>
    <w:rsid w:val="006568DA"/>
    <w:rsid w:val="007B4CF5"/>
    <w:rsid w:val="00911A20"/>
    <w:rsid w:val="009F7733"/>
    <w:rsid w:val="00EF2A53"/>
    <w:rsid w:val="00F8472C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2018-11-14T02:25:00Z</dcterms:modified>
</cp:coreProperties>
</file>