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E562EC" w:rsidP="000772E7">
            <w:pPr>
              <w:spacing w:before="40" w:after="40" w:line="240" w:lineRule="auto"/>
            </w:pPr>
            <w:r>
              <w:t>WTR 6.2.1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E562EC" w:rsidP="000772E7">
            <w:pPr>
              <w:spacing w:before="40" w:after="40" w:line="240" w:lineRule="auto"/>
            </w:pPr>
            <w:r w:rsidRPr="00E96787">
              <w:t>Prohibited materials for piping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E562EC" w:rsidP="000772E7">
            <w:pPr>
              <w:spacing w:before="40" w:after="40" w:line="240" w:lineRule="auto"/>
            </w:pPr>
            <w:r>
              <w:t>6 Distribution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E562EC" w:rsidP="000772E7">
            <w:pPr>
              <w:spacing w:before="40" w:after="40" w:line="240" w:lineRule="auto"/>
            </w:pPr>
            <w:r>
              <w:t>6.2 Choice of materials for Piping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E562EC" w:rsidRDefault="00E562EC" w:rsidP="00E562EC">
            <w:pPr>
              <w:spacing w:before="40" w:after="40" w:line="240" w:lineRule="auto"/>
            </w:pPr>
            <w:r>
              <w:t>Code of Practice for Water Services</w:t>
            </w:r>
          </w:p>
          <w:p w:rsidR="000772E7" w:rsidRDefault="00E562EC" w:rsidP="00E562EC">
            <w:pPr>
              <w:spacing w:before="40" w:after="40" w:line="240" w:lineRule="auto"/>
            </w:pPr>
            <w:r>
              <w:t>SS 636 : 2018</w:t>
            </w:r>
            <w:bookmarkStart w:id="0" w:name="_GoBack"/>
            <w:bookmarkEnd w:id="0"/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7F383D" w:rsidP="0011356E">
            <w:pPr>
              <w:spacing w:before="40" w:after="40" w:line="240" w:lineRule="auto"/>
            </w:pPr>
            <w:r>
              <w:t>Lawrence Roy Quiling</w:t>
            </w:r>
          </w:p>
        </w:tc>
      </w:tr>
    </w:tbl>
    <w:p w:rsidR="0041287F" w:rsidRDefault="00E562EC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5pt;height:.65pt" o:ole="">
                  <v:imagedata r:id="rId4" o:title=""/>
                </v:shape>
                <o:OLEObject Type="Embed" ProgID="LibreOffice.DrawDocument.1" ShapeID="_x0000_i1025" DrawAspect="Content" ObjectID="_1608017646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E562EC">
              <w:rPr>
                <w:noProof/>
                <w:lang w:eastAsia="en-US"/>
              </w:rPr>
              <w:drawing>
                <wp:inline distT="0" distB="0" distL="0" distR="0" wp14:anchorId="0EF5C7FC" wp14:editId="0881ABFD">
                  <wp:extent cx="5943600" cy="52527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5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413579"/>
    <w:rsid w:val="00414AD0"/>
    <w:rsid w:val="00654E2F"/>
    <w:rsid w:val="006568DA"/>
    <w:rsid w:val="007B4CF5"/>
    <w:rsid w:val="007F383D"/>
    <w:rsid w:val="00982F36"/>
    <w:rsid w:val="009D1C4F"/>
    <w:rsid w:val="009F7733"/>
    <w:rsid w:val="00AD17C9"/>
    <w:rsid w:val="00D60828"/>
    <w:rsid w:val="00E562EC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Lawrence Roy Quiling</cp:lastModifiedBy>
  <cp:revision>3</cp:revision>
  <cp:lastPrinted>2018-05-08T08:31:00Z</cp:lastPrinted>
  <dcterms:created xsi:type="dcterms:W3CDTF">2018-11-13T01:52:00Z</dcterms:created>
  <dcterms:modified xsi:type="dcterms:W3CDTF">2019-01-03T02:48:00Z</dcterms:modified>
</cp:coreProperties>
</file>