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sz w:val="36"/>
          <w:szCs w:val="36"/>
          <w:rtl w:val="0"/>
        </w:rPr>
        <w:t xml:space="preserve">Universidad Peruana de Ciencias Aplicadas</w:t>
      </w:r>
      <w:r w:rsidDel="00000000" w:rsidR="00000000" w:rsidRPr="00000000">
        <w:rPr>
          <w:rtl w:val="0"/>
        </w:rPr>
      </w:r>
    </w:p>
    <w:p w:rsidR="00000000" w:rsidDel="00000000" w:rsidP="00000000" w:rsidRDefault="00000000" w:rsidRPr="00000000" w14:paraId="00000002">
      <w:pPr>
        <w:widowControl w:val="0"/>
        <w:spacing w:before="109.468994140625" w:line="240" w:lineRule="auto"/>
        <w:ind w:left="2963.9225006103516" w:firstLine="0"/>
        <w:rPr>
          <w:rFonts w:ascii="Times New Roman" w:cs="Times New Roman" w:eastAsia="Times New Roman" w:hAnsi="Times New Roman"/>
          <w:b w:val="1"/>
          <w:bCs w:val="1"/>
          <w:sz w:val="27.84000015258789"/>
          <w:szCs w:val="27.84000015258789"/>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7.84000015258789"/>
          <w:szCs w:val="27.84000015258789"/>
        </w:rPr>
      </w:pPr>
      <w:r w:rsidDel="00000000" w:rsidR="00000000" w:rsidRPr="00000000">
        <w:rPr>
          <w:rFonts w:ascii="Times New Roman" w:cs="Times New Roman" w:eastAsia="Times New Roman" w:hAnsi="Times New Roman"/>
          <w:sz w:val="28"/>
          <w:szCs w:val="28"/>
        </w:rPr>
        <w:drawing>
          <wp:inline distB="0" distT="0" distL="0" distR="0">
            <wp:extent cx="1114425" cy="981075"/>
            <wp:effectExtent b="0" l="0" r="0" t="0"/>
            <wp:docPr descr="Upc Logo" id="5" name="image12.png"/>
            <a:graphic>
              <a:graphicData uri="http://schemas.openxmlformats.org/drawingml/2006/picture">
                <pic:pic>
                  <pic:nvPicPr>
                    <pic:cNvPr descr="Upc Logo" id="0" name="image12.png"/>
                    <pic:cNvPicPr preferRelativeResize="0"/>
                  </pic:nvPicPr>
                  <pic:blipFill>
                    <a:blip r:embed="rId6"/>
                    <a:srcRect b="0" l="0" r="66157" t="0"/>
                    <a:stretch>
                      <a:fillRect/>
                    </a:stretch>
                  </pic:blipFill>
                  <pic:spPr>
                    <a:xfrm>
                      <a:off x="0" y="0"/>
                      <a:ext cx="11144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before="109.468994140625" w:line="240" w:lineRule="auto"/>
        <w:rPr>
          <w:rFonts w:ascii="Times New Roman" w:cs="Times New Roman" w:eastAsia="Times New Roman" w:hAnsi="Times New Roman"/>
          <w:b w:val="1"/>
          <w:bCs w:val="1"/>
          <w:sz w:val="27.84000015258789"/>
          <w:szCs w:val="27.84000015258789"/>
        </w:rPr>
      </w:pPr>
      <w:r w:rsidDel="00000000" w:rsidR="00000000" w:rsidRPr="00000000">
        <w:rPr>
          <w:rtl w:val="0"/>
        </w:rPr>
      </w:r>
    </w:p>
    <w:p w:rsidR="00000000" w:rsidDel="00000000" w:rsidP="00000000" w:rsidRDefault="00000000" w:rsidRPr="00000000" w14:paraId="00000005">
      <w:pPr>
        <w:widowControl w:val="0"/>
        <w:spacing w:before="109.468994140625" w:line="240" w:lineRule="auto"/>
        <w:jc w:val="center"/>
        <w:rPr>
          <w:rFonts w:ascii="Times New Roman" w:cs="Times New Roman" w:eastAsia="Times New Roman" w:hAnsi="Times New Roman"/>
          <w:b w:val="1"/>
          <w:bCs w:val="1"/>
          <w:sz w:val="27.84000015258789"/>
          <w:szCs w:val="27.84000015258789"/>
        </w:rPr>
      </w:pPr>
      <w:r w:rsidDel="00000000" w:rsidR="00000000" w:rsidRPr="00000000">
        <w:rPr>
          <w:rFonts w:ascii="Times New Roman" w:cs="Times New Roman" w:eastAsia="Times New Roman" w:hAnsi="Times New Roman"/>
          <w:b w:val="1"/>
          <w:bCs w:val="1"/>
          <w:sz w:val="27.84000015258789"/>
          <w:szCs w:val="27.84000015258789"/>
          <w:rtl w:val="0"/>
        </w:rPr>
        <w:t xml:space="preserve">CIENCIAS DE LA COMPUTACIÓN</w:t>
      </w:r>
    </w:p>
    <w:p w:rsidR="00000000" w:rsidDel="00000000" w:rsidP="00000000" w:rsidRDefault="00000000" w:rsidRPr="00000000" w14:paraId="00000006">
      <w:pPr>
        <w:widowControl w:val="0"/>
        <w:spacing w:before="109.468994140625" w:line="240" w:lineRule="auto"/>
        <w:jc w:val="center"/>
        <w:rPr>
          <w:rFonts w:ascii="Times New Roman" w:cs="Times New Roman" w:eastAsia="Times New Roman" w:hAnsi="Times New Roman"/>
          <w:b w:val="1"/>
          <w:bCs w:val="1"/>
          <w:sz w:val="27.84000015258789"/>
          <w:szCs w:val="27.84000015258789"/>
        </w:rPr>
      </w:pPr>
      <w:r w:rsidDel="00000000" w:rsidR="00000000" w:rsidRPr="00000000">
        <w:rPr>
          <w:rtl w:val="0"/>
        </w:rPr>
      </w:r>
    </w:p>
    <w:p w:rsidR="00000000" w:rsidDel="00000000" w:rsidP="00000000" w:rsidRDefault="00000000" w:rsidRPr="00000000" w14:paraId="00000007">
      <w:pPr>
        <w:widowControl w:val="0"/>
        <w:spacing w:before="1.507568359375" w:line="240" w:lineRule="auto"/>
        <w:jc w:val="center"/>
        <w:rPr>
          <w:rFonts w:ascii="Times New Roman" w:cs="Times New Roman" w:eastAsia="Times New Roman" w:hAnsi="Times New Roman"/>
          <w:b w:val="1"/>
          <w:bCs w:val="1"/>
          <w:sz w:val="27.84000015258789"/>
          <w:szCs w:val="27.84000015258789"/>
        </w:rPr>
      </w:pPr>
      <w:r w:rsidDel="00000000" w:rsidR="00000000" w:rsidRPr="00000000">
        <w:rPr>
          <w:rFonts w:ascii="Times New Roman" w:cs="Times New Roman" w:eastAsia="Times New Roman" w:hAnsi="Times New Roman"/>
          <w:b w:val="1"/>
          <w:bCs w:val="1"/>
          <w:sz w:val="27.84000015258789"/>
          <w:szCs w:val="27.84000015258789"/>
          <w:rtl w:val="0"/>
        </w:rPr>
        <w:t xml:space="preserve">1ACC0057  MACHINE LEARNING</w:t>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sz w:val="27.84000015258789"/>
          <w:szCs w:val="27.84000015258789"/>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7.84000015258789"/>
          <w:szCs w:val="27.84000015258789"/>
        </w:rPr>
      </w:pPr>
      <w:r w:rsidDel="00000000" w:rsidR="00000000" w:rsidRPr="00000000">
        <w:rPr>
          <w:rtl w:val="0"/>
        </w:rPr>
      </w:r>
    </w:p>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Sección:</w:t>
      </w:r>
      <w:r w:rsidDel="00000000" w:rsidR="00000000" w:rsidRPr="00000000">
        <w:rPr>
          <w:rFonts w:ascii="Times New Roman" w:cs="Times New Roman" w:eastAsia="Times New Roman" w:hAnsi="Times New Roman"/>
          <w:sz w:val="26"/>
          <w:szCs w:val="26"/>
          <w:rtl w:val="0"/>
        </w:rPr>
        <w:t xml:space="preserve"> 16623</w:t>
      </w:r>
    </w:p>
    <w:p w:rsidR="00000000" w:rsidDel="00000000" w:rsidP="00000000" w:rsidRDefault="00000000" w:rsidRPr="00000000" w14:paraId="0000000C">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rtl w:val="0"/>
        </w:rPr>
        <w:t xml:space="preserve">Docente: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Robert Ernesto Zubieta Cardenas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Integrantes</w:t>
      </w:r>
    </w:p>
    <w:p w:rsidR="00000000" w:rsidDel="00000000" w:rsidP="00000000" w:rsidRDefault="00000000" w:rsidRPr="00000000" w14:paraId="00000010">
      <w:pPr>
        <w:spacing w:line="276" w:lineRule="auto"/>
        <w:rPr>
          <w:rFonts w:ascii="Times New Roman" w:cs="Times New Roman" w:eastAsia="Times New Roman" w:hAnsi="Times New Roman"/>
          <w:sz w:val="26"/>
          <w:szCs w:val="26"/>
        </w:rPr>
      </w:pPr>
      <w:r w:rsidDel="00000000" w:rsidR="00000000" w:rsidRPr="00000000">
        <w:rPr>
          <w:rtl w:val="0"/>
        </w:rPr>
      </w:r>
    </w:p>
    <w:tbl>
      <w:tblPr>
        <w:tblStyle w:val="Table1"/>
        <w:tblW w:w="799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430"/>
        <w:gridCol w:w="2970"/>
        <w:tblGridChange w:id="0">
          <w:tblGrid>
            <w:gridCol w:w="2595"/>
            <w:gridCol w:w="2430"/>
            <w:gridCol w:w="29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Código</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Apellidos</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Nombres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u202219719</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Aguilar Benites </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Enrique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u20231b249</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Almeida Aguilar</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Ivan Antonio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u202315959</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Moncada Olivares</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Elías David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u202320608</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Toledo Mamani</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Wilber Franz</w:t>
            </w:r>
          </w:p>
        </w:tc>
      </w:tr>
    </w:tbl>
    <w:p w:rsidR="00000000" w:rsidDel="00000000" w:rsidP="00000000" w:rsidRDefault="00000000" w:rsidRPr="00000000" w14:paraId="00000020">
      <w:pPr>
        <w:spacing w:after="160" w:line="259" w:lineRule="auto"/>
        <w:rPr>
          <w:rFonts w:ascii="Times New Roman" w:cs="Times New Roman" w:eastAsia="Times New Roman" w:hAnsi="Times New Roman"/>
          <w:color w:val="2c2c2c"/>
          <w:sz w:val="21"/>
          <w:szCs w:val="21"/>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Times New Roman" w:cs="Times New Roman" w:eastAsia="Times New Roman" w:hAnsi="Times New Roman"/>
          <w:color w:val="2c2c2c"/>
          <w:sz w:val="21"/>
          <w:szCs w:val="21"/>
        </w:rPr>
      </w:pP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Times New Roman" w:cs="Times New Roman" w:eastAsia="Times New Roman" w:hAnsi="Times New Roman"/>
          <w:color w:val="2c2c2c"/>
          <w:sz w:val="21"/>
          <w:szCs w:val="21"/>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Times New Roman" w:cs="Times New Roman" w:eastAsia="Times New Roman" w:hAnsi="Times New Roman"/>
          <w:color w:val="2c2c2c"/>
          <w:sz w:val="21"/>
          <w:szCs w:val="21"/>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Times New Roman" w:cs="Times New Roman" w:eastAsia="Times New Roman" w:hAnsi="Times New Roman"/>
          <w:color w:val="2c2c2c"/>
          <w:sz w:val="21"/>
          <w:szCs w:val="21"/>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Times New Roman" w:cs="Times New Roman" w:eastAsia="Times New Roman" w:hAnsi="Times New Roman"/>
          <w:color w:val="2c2c2c"/>
          <w:sz w:val="21"/>
          <w:szCs w:val="21"/>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Times New Roman" w:cs="Times New Roman" w:eastAsia="Times New Roman" w:hAnsi="Times New Roman"/>
          <w:color w:val="2c2c2c"/>
          <w:sz w:val="21"/>
          <w:szCs w:val="21"/>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Times New Roman" w:cs="Times New Roman" w:eastAsia="Times New Roman" w:hAnsi="Times New Roman"/>
          <w:color w:val="2c2c2c"/>
          <w:sz w:val="21"/>
          <w:szCs w:val="21"/>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sdt>
      <w:sdtPr>
        <w:id w:val="-314319971"/>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byhxuwmd17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c7nxvdn08x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Descripción de la problemática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i1f3l12mv9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Justificación del alcance geográfico: de Perú a Brasil</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h5yn5ksscm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Modelos desarrollados y valor predictivo</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56fz1anm0l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Recursos utilizados: código, datos y documentación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nubxa159gp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Marco Metodológico: CRISP-DM Aplicado</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5sdco52glp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Business Understanding</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hb7t90w7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Definición de las variables objetivo (Target variables):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h5yy5tgez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Criterios de éxito técnico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gmud3wuvy4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Data Understanding &amp; Exploratory Data Analysis (EDA)</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m7xrro1d5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Descripción de las fuentes de datos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kbq3mdgij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Unificación de granularidad como requisito de Data Understanding</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m6kubg3f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Unificación de granularidad como requisito de Data Understanding</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r36fcni00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Análisis exploratorio de los datos (EDA)</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hnhkx0pdd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2.2.4.1. Estadísticas descriptivas generales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f7usee37h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2.2.4.2. Identificación de valores faltantes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eu9pn3ax3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2.2.4.3. Identificación de valores atípicos (outliers)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5q2tmbzen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2.2.4.4. Análisis de correlaciones y patrones multivariados</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v1woixfk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2.2.4.5. Evolución temporal, distribución espacial y balance de clases</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rapcl6ik1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Referencias Bibliográficas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a7pzrcaf6y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Anexos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2"/>
        <w:spacing w:line="276" w:lineRule="auto"/>
        <w:ind w:left="0" w:firstLine="0"/>
        <w:rPr>
          <w:rFonts w:ascii="Times New Roman" w:cs="Times New Roman" w:eastAsia="Times New Roman" w:hAnsi="Times New Roman"/>
          <w:sz w:val="30"/>
          <w:szCs w:val="30"/>
        </w:rPr>
      </w:pPr>
      <w:bookmarkStart w:colFirst="0" w:colLast="0" w:name="_xy7nyfizrjfm" w:id="0"/>
      <w:bookmarkEnd w:id="0"/>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numPr>
          <w:ilvl w:val="0"/>
          <w:numId w:val="3"/>
        </w:numPr>
        <w:spacing w:before="0" w:line="276" w:lineRule="auto"/>
        <w:ind w:left="425.19685039370086" w:hanging="283.464566929134"/>
        <w:rPr/>
      </w:pPr>
      <w:bookmarkStart w:colFirst="0" w:colLast="0" w:name="_1byhxuwmd17c" w:id="1"/>
      <w:bookmarkEnd w:id="1"/>
      <w:r w:rsidDel="00000000" w:rsidR="00000000" w:rsidRPr="00000000">
        <w:rPr>
          <w:rtl w:val="0"/>
        </w:rPr>
        <w:t xml:space="preserve">Resumen ejecutivo</w:t>
      </w:r>
    </w:p>
    <w:p w:rsidR="00000000" w:rsidDel="00000000" w:rsidP="00000000" w:rsidRDefault="00000000" w:rsidRPr="00000000" w14:paraId="00000040">
      <w:pPr>
        <w:pStyle w:val="Heading1"/>
        <w:numPr>
          <w:ilvl w:val="1"/>
          <w:numId w:val="3"/>
        </w:numPr>
        <w:spacing w:before="0" w:line="276" w:lineRule="auto"/>
        <w:ind w:left="566.9291338582675" w:hanging="266.92913385826756"/>
        <w:rPr/>
      </w:pPr>
      <w:bookmarkStart w:colFirst="0" w:colLast="0" w:name="_hc7nxvdn08xm" w:id="2"/>
      <w:bookmarkEnd w:id="2"/>
      <w:r w:rsidDel="00000000" w:rsidR="00000000" w:rsidRPr="00000000">
        <w:rPr>
          <w:rtl w:val="0"/>
        </w:rPr>
        <w:t xml:space="preserve">Descripción de la problemática</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Amazonía es el bosque tropical más extenso del planeta, repartido entre nueve países: Brasil concentra cerca del 60% de su superficie y Perú el 13% (RAISG, 2021). En 2024 la pérdida de bosque primario tropical alcanzó su nivel más alto registrado ,6.7 millones de hectáreas, casi el doble que en 2023, y por primera vez los incendios fueron la causa principal, con cerca del 50% del total (WRI, 2025). Aunque la deforestación anual en la Amazonía Legal brasileña ha bajado sostenidamente de 13,038 km² (2021) a 5,731 km² (2025) según el sistema PRODES (INPE, 2026), y Perú perdió 132,216 ha de bosque húmedo amazónico en 2023 (MINAM, 2024), el volumen sigue superando la capacidad de vigilancia manual: el Perú cuenta con solo ~903 guardaparques para 76 áreas naturales protegidas (Tuesta y Mendoza, 2025), y el caso BIODIVERSITY-GUARD plantea que, al escalar de 2 a 10 reservas, la telemetría disponible ya excede la capacidad de análisis humano.</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detectar la amenaza a tiempo tiene costos altos: la Amazonía sureste ya se comporta como fuente neta de carbono por la deforestación (Gatti et al., 2021), y la pérdida de cobertura fragmenta hábitats y afecta a comunidades indígenas, cuyos territorios ,pese a cubrir el 28% de la cuenca, generan solo el 2.6% de sus emisiones brutas, con una deforestación 2.5 veces menor que fuera de ellos (FAO y FILAC, 2021).</w:t>
      </w:r>
      <w:r w:rsidDel="00000000" w:rsidR="00000000" w:rsidRPr="00000000">
        <w:rPr>
          <w:rtl w:val="0"/>
        </w:rPr>
      </w:r>
    </w:p>
    <w:p w:rsidR="00000000" w:rsidDel="00000000" w:rsidP="00000000" w:rsidRDefault="00000000" w:rsidRPr="00000000" w14:paraId="00000043">
      <w:pPr>
        <w:pStyle w:val="Heading1"/>
        <w:numPr>
          <w:ilvl w:val="1"/>
          <w:numId w:val="3"/>
        </w:numPr>
        <w:spacing w:before="0" w:lineRule="auto"/>
        <w:ind w:firstLine="300"/>
        <w:rPr>
          <w:rFonts w:ascii="Times New Roman" w:cs="Times New Roman" w:eastAsia="Times New Roman" w:hAnsi="Times New Roman"/>
          <w:b w:val="1"/>
          <w:bCs w:val="1"/>
        </w:rPr>
      </w:pPr>
      <w:bookmarkStart w:colFirst="0" w:colLast="0" w:name="_yi1f3l12mv96" w:id="3"/>
      <w:bookmarkEnd w:id="3"/>
      <w:r w:rsidDel="00000000" w:rsidR="00000000" w:rsidRPr="00000000">
        <w:rPr>
          <w:rtl w:val="0"/>
        </w:rPr>
        <w:t xml:space="preserve">Justificación del alcance geográfico: de Perú a Brasil</w:t>
      </w: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mantiene como contexto de aplicación las áreas protegidas peruanas que supervisa BIODIVERSITY-GUARD junto con SERNANP, pero los modelos se entrenan y validan con datos de la Amazonía brasileña, por tres razones: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Granularidad y frecuencia. Los datos peruanos de pérdida de bosque (SINIA/Geobosques) se publican de forma anual y con retraso ,las cifras de 2022 recién se difundieron en 2024 (Castro, 2024),, insuficiente para predecir a 7 y 30 días. El sistema DETER (INPE, s.f.-a) genera en cambio alertas diarias desde 2004, con detección desde 6.25 ha.</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Volumen y variables complementarias. INPE ofrece además focos de calor diarios (BDQueimadas; INPE, s.f.-b) y variables ambientales/meteorológicas integradas (SISAM; INPE y Fiocruz, s.f.), aportando el volumen multivariado que exige el aprendizaje supervisado.</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Representatividad ecológica. Perú y Brasil comparten la misma cuenca, dinámicas climáticas similares y los mismos motores de pérdida (agricultura, incendios, minería, tala ilegal), concentrando juntos cerca del 73% del bioma (RAISG, 2021).</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pipeline se construye con variables genéricas y reentrenables, de modo que pueda adaptarse a datos peruanos en cuanto exista una fuente de granularidad comparable, incluyendo la base de datos común que se integrará en la semana 12.</w:t>
      </w:r>
      <w:r w:rsidDel="00000000" w:rsidR="00000000" w:rsidRPr="00000000">
        <w:rPr>
          <w:rtl w:val="0"/>
        </w:rPr>
      </w:r>
    </w:p>
    <w:p w:rsidR="00000000" w:rsidDel="00000000" w:rsidP="00000000" w:rsidRDefault="00000000" w:rsidRPr="00000000" w14:paraId="00000049">
      <w:pPr>
        <w:pStyle w:val="Heading1"/>
        <w:numPr>
          <w:ilvl w:val="1"/>
          <w:numId w:val="3"/>
        </w:numPr>
        <w:spacing w:before="0" w:lineRule="auto"/>
        <w:ind w:firstLine="300"/>
        <w:rPr>
          <w:rFonts w:ascii="Times New Roman" w:cs="Times New Roman" w:eastAsia="Times New Roman" w:hAnsi="Times New Roman"/>
          <w:b w:val="1"/>
          <w:bCs w:val="1"/>
        </w:rPr>
      </w:pPr>
      <w:bookmarkStart w:colFirst="0" w:colLast="0" w:name="_8h5yn5ksscm0" w:id="4"/>
      <w:bookmarkEnd w:id="4"/>
      <w:r w:rsidDel="00000000" w:rsidR="00000000" w:rsidRPr="00000000">
        <w:rPr>
          <w:rtl w:val="0"/>
        </w:rPr>
        <w:t xml:space="preserve">Modelos desarrollados y valor predictivo</w:t>
      </w:r>
      <w:r w:rsidDel="00000000" w:rsidR="00000000" w:rsidRPr="00000000">
        <w:rPr>
          <w:rtl w:val="0"/>
        </w:rPr>
      </w:r>
    </w:p>
    <w:p w:rsidR="00000000" w:rsidDel="00000000" w:rsidP="00000000" w:rsidRDefault="00000000" w:rsidRPr="00000000" w14:paraId="0000004A">
      <w:pPr>
        <w:spacing w:after="20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organiza en los dos frentes tecnológicos del caso (UPC, 2026), alimentados por un mismo flujo de datos unificado: el Frente 1 estima mediante regresión/series temporales las hectáreas en riesgo de deforestación a 7 y 30 días y la variación de biomasa según variables agrometeorológicas; el Frente 2 clasifica cada alerta en un nivel de amenaza (Bajo, Moderado, Alto o Crítico) mediante clasificación supervisada multiclase, cruzando alertas de deforestación, focos de calor y variables climáticas. El valor del sistema está en pasar de una constatación reactiva a una alerta temprana, permitiendo priorizar sectores antes de que la pérdida sea irreversible, en línea con los ODS 13 y 15. </w:t>
      </w:r>
      <w:r w:rsidDel="00000000" w:rsidR="00000000" w:rsidRPr="00000000">
        <w:rPr>
          <w:rtl w:val="0"/>
        </w:rPr>
      </w:r>
    </w:p>
    <w:p w:rsidR="00000000" w:rsidDel="00000000" w:rsidP="00000000" w:rsidRDefault="00000000" w:rsidRPr="00000000" w14:paraId="0000004B">
      <w:pPr>
        <w:pStyle w:val="Heading1"/>
        <w:numPr>
          <w:ilvl w:val="1"/>
          <w:numId w:val="3"/>
        </w:numPr>
        <w:spacing w:before="0" w:lineRule="auto"/>
        <w:ind w:firstLine="300"/>
        <w:rPr>
          <w:rFonts w:ascii="Times New Roman" w:cs="Times New Roman" w:eastAsia="Times New Roman" w:hAnsi="Times New Roman"/>
          <w:b w:val="1"/>
          <w:bCs w:val="1"/>
        </w:rPr>
      </w:pPr>
      <w:bookmarkStart w:colFirst="0" w:colLast="0" w:name="_e56fz1anm0l1" w:id="5"/>
      <w:bookmarkEnd w:id="5"/>
      <w:r w:rsidDel="00000000" w:rsidR="00000000" w:rsidRPr="00000000">
        <w:rPr>
          <w:rtl w:val="0"/>
        </w:rPr>
        <w:t xml:space="preserve">Recursos utilizados: código, datos y documentación</w:t>
      </w:r>
      <w:r w:rsidDel="00000000" w:rsidR="00000000" w:rsidRPr="00000000">
        <w:rPr>
          <w:rtl w:val="0"/>
        </w:rPr>
      </w:r>
    </w:p>
    <w:p w:rsidR="00000000" w:rsidDel="00000000" w:rsidP="00000000" w:rsidRDefault="00000000" w:rsidRPr="00000000" w14:paraId="0000004C">
      <w:pPr>
        <w:numPr>
          <w:ilvl w:val="0"/>
          <w:numId w:val="6"/>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Código:</w:t>
      </w:r>
      <w:r w:rsidDel="00000000" w:rsidR="00000000" w:rsidRPr="00000000">
        <w:rPr>
          <w:rFonts w:ascii="Times New Roman" w:cs="Times New Roman" w:eastAsia="Times New Roman" w:hAnsi="Times New Roman"/>
          <w:rtl w:val="0"/>
        </w:rPr>
        <w:t xml:space="preserve"> Python 3.9+ y librerías para la extracción de datos </w:t>
      </w:r>
    </w:p>
    <w:p w:rsidR="00000000" w:rsidDel="00000000" w:rsidP="00000000" w:rsidRDefault="00000000" w:rsidRPr="00000000" w14:paraId="0000004D">
      <w:pPr>
        <w:numPr>
          <w:ilvl w:val="0"/>
          <w:numId w:val="6"/>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Datos:</w:t>
      </w:r>
      <w:r w:rsidDel="00000000" w:rsidR="00000000" w:rsidRPr="00000000">
        <w:rPr>
          <w:rFonts w:ascii="Times New Roman" w:cs="Times New Roman" w:eastAsia="Times New Roman" w:hAnsi="Times New Roman"/>
          <w:rtl w:val="0"/>
        </w:rPr>
        <w:t xml:space="preserve"> DETER (alertas de deforestación), BDQueimadas (focos de calor) y SISAM (variables ambientaless) del INPE, como fuente principal, y complementariamente NasaPower (para datos metereológicos)</w:t>
      </w:r>
    </w:p>
    <w:p w:rsidR="00000000" w:rsidDel="00000000" w:rsidP="00000000" w:rsidRDefault="00000000" w:rsidRPr="00000000" w14:paraId="0000004E">
      <w:pPr>
        <w:numPr>
          <w:ilvl w:val="0"/>
          <w:numId w:val="6"/>
        </w:numPr>
        <w:spacing w:after="20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Documentación:</w:t>
      </w:r>
      <w:r w:rsidDel="00000000" w:rsidR="00000000" w:rsidRPr="00000000">
        <w:rPr>
          <w:rFonts w:ascii="Times New Roman" w:cs="Times New Roman" w:eastAsia="Times New Roman" w:hAnsi="Times New Roman"/>
          <w:rtl w:val="0"/>
        </w:rPr>
        <w:t xml:space="preserve"> el presente informe, el diccionario de datos, los notebooks de EDA y preprocesamiento organizados en las carpetas /código, /datos y /docs.</w:t>
      </w:r>
    </w:p>
    <w:p w:rsidR="00000000" w:rsidDel="00000000" w:rsidP="00000000" w:rsidRDefault="00000000" w:rsidRPr="00000000" w14:paraId="0000004F">
      <w:pPr>
        <w:pStyle w:val="Heading1"/>
        <w:spacing w:after="200" w:before="0" w:line="276" w:lineRule="auto"/>
        <w:ind w:left="0" w:firstLine="0"/>
        <w:rPr/>
      </w:pPr>
      <w:bookmarkStart w:colFirst="0" w:colLast="0" w:name="_52rn8fsdnvkp" w:id="6"/>
      <w:bookmarkEnd w:id="6"/>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numPr>
          <w:ilvl w:val="0"/>
          <w:numId w:val="3"/>
        </w:numPr>
        <w:spacing w:after="200" w:before="0" w:line="276" w:lineRule="auto"/>
        <w:ind w:left="425.19685039370086" w:hanging="283.464566929134"/>
        <w:rPr>
          <w:rFonts w:ascii="Times New Roman" w:cs="Times New Roman" w:eastAsia="Times New Roman" w:hAnsi="Times New Roman"/>
          <w:b w:val="1"/>
          <w:bCs w:val="1"/>
        </w:rPr>
      </w:pPr>
      <w:bookmarkStart w:colFirst="0" w:colLast="0" w:name="_bnubxa159gpv" w:id="7"/>
      <w:bookmarkEnd w:id="7"/>
      <w:r w:rsidDel="00000000" w:rsidR="00000000" w:rsidRPr="00000000">
        <w:rPr>
          <w:rtl w:val="0"/>
        </w:rPr>
        <w:t xml:space="preserve">Marco Metodológico: CRISP-DM Aplicado</w:t>
      </w:r>
    </w:p>
    <w:p w:rsidR="00000000" w:rsidDel="00000000" w:rsidP="00000000" w:rsidRDefault="00000000" w:rsidRPr="00000000" w14:paraId="00000051">
      <w:pPr>
        <w:pStyle w:val="Heading1"/>
        <w:numPr>
          <w:ilvl w:val="1"/>
          <w:numId w:val="3"/>
        </w:numPr>
        <w:spacing w:after="200" w:before="0" w:line="276" w:lineRule="auto"/>
        <w:ind w:firstLine="300"/>
        <w:rPr>
          <w:rFonts w:ascii="Times New Roman" w:cs="Times New Roman" w:eastAsia="Times New Roman" w:hAnsi="Times New Roman"/>
          <w:b w:val="1"/>
          <w:bCs w:val="1"/>
        </w:rPr>
      </w:pPr>
      <w:bookmarkStart w:colFirst="0" w:colLast="0" w:name="_w5sdco52glpb" w:id="8"/>
      <w:bookmarkEnd w:id="8"/>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052">
      <w:pPr>
        <w:pStyle w:val="Heading3"/>
        <w:numPr>
          <w:ilvl w:val="2"/>
          <w:numId w:val="3"/>
        </w:numPr>
        <w:spacing w:after="200" w:line="276" w:lineRule="auto"/>
        <w:ind w:left="850.3937007874017" w:hanging="360"/>
        <w:rPr>
          <w:rFonts w:ascii="Times New Roman" w:cs="Times New Roman" w:eastAsia="Times New Roman" w:hAnsi="Times New Roman"/>
          <w:b w:val="1"/>
          <w:bCs w:val="1"/>
        </w:rPr>
      </w:pPr>
      <w:bookmarkStart w:colFirst="0" w:colLast="0" w:name="_dchb7t90w7bt" w:id="9"/>
      <w:bookmarkEnd w:id="9"/>
      <w:r w:rsidDel="00000000" w:rsidR="00000000" w:rsidRPr="00000000">
        <w:rPr>
          <w:rtl w:val="0"/>
        </w:rPr>
        <w:t xml:space="preserve">Definición de las variables objetivo (Target variables): </w:t>
      </w:r>
    </w:p>
    <w:p w:rsidR="00000000" w:rsidDel="00000000" w:rsidP="00000000" w:rsidRDefault="00000000" w:rsidRPr="00000000" w14:paraId="00000053">
      <w:pPr>
        <w:spacing w:after="20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define dos variables objetivo, una por cada frente tecnológico, ambas construidas a partir del mismo flujo de datos integrado (DETER, BDQueimadas, SISAM y NASA POWER).</w:t>
      </w:r>
    </w:p>
    <w:p w:rsidR="00000000" w:rsidDel="00000000" w:rsidP="00000000" w:rsidRDefault="00000000" w:rsidRPr="00000000" w14:paraId="00000054">
      <w:pPr>
        <w:numPr>
          <w:ilvl w:val="0"/>
          <w:numId w:val="2"/>
        </w:numPr>
        <w:spacing w:after="20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Frente 1:  </w:t>
      </w:r>
      <w:r w:rsidDel="00000000" w:rsidR="00000000" w:rsidRPr="00000000">
        <w:rPr>
          <w:rFonts w:ascii="Times New Roman" w:cs="Times New Roman" w:eastAsia="Times New Roman" w:hAnsi="Times New Roman"/>
          <w:rtl w:val="0"/>
        </w:rPr>
        <w:t xml:space="preserve">Hectáreas en riesgo de deforestación (variable numérica continua)</w:t>
      </w:r>
      <w:r w:rsidDel="00000000" w:rsidR="00000000" w:rsidRPr="00000000">
        <w:rPr>
          <w:rtl w:val="0"/>
        </w:rPr>
      </w:r>
    </w:p>
    <w:p w:rsidR="00000000" w:rsidDel="00000000" w:rsidP="00000000" w:rsidRDefault="00000000" w:rsidRPr="00000000" w14:paraId="00000055">
      <w:pPr>
        <w:spacing w:after="20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busca predecir el </w:t>
      </w:r>
      <w:r w:rsidDel="00000000" w:rsidR="00000000" w:rsidRPr="00000000">
        <w:rPr>
          <w:rFonts w:ascii="Times New Roman" w:cs="Times New Roman" w:eastAsia="Times New Roman" w:hAnsi="Times New Roman"/>
          <w:b w:val="1"/>
          <w:bCs w:val="1"/>
          <w:rtl w:val="0"/>
        </w:rPr>
        <w:t xml:space="preserve">área acumulada de alertas de deforestación (</w:t>
      </w:r>
      <w:r w:rsidDel="00000000" w:rsidR="00000000" w:rsidRPr="00000000">
        <w:rPr>
          <w:rFonts w:ascii="Times New Roman" w:cs="Times New Roman" w:eastAsia="Times New Roman" w:hAnsi="Times New Roman"/>
          <w:b w:val="1"/>
          <w:bCs w:val="1"/>
          <w:rtl w:val="0"/>
        </w:rPr>
        <w:t xml:space="preserve">area_ha</w:t>
      </w:r>
      <w:r w:rsidDel="00000000" w:rsidR="00000000" w:rsidRPr="00000000">
        <w:rPr>
          <w:rFonts w:ascii="Times New Roman" w:cs="Times New Roman" w:eastAsia="Times New Roman" w:hAnsi="Times New Roman"/>
          <w:b w:val="1"/>
          <w:bCs w:val="1"/>
          <w:rtl w:val="0"/>
        </w:rPr>
        <w:t xml:space="preserve">) por sector y periodo</w:t>
      </w:r>
      <w:r w:rsidDel="00000000" w:rsidR="00000000" w:rsidRPr="00000000">
        <w:rPr>
          <w:rFonts w:ascii="Times New Roman" w:cs="Times New Roman" w:eastAsia="Times New Roman" w:hAnsi="Times New Roman"/>
          <w:rtl w:val="0"/>
        </w:rPr>
        <w:t xml:space="preserve">, a un horizonte de 7 y 30 días. Esta variable responde directamente a la pregunta de negocio </w:t>
      </w:r>
      <w:r w:rsidDel="00000000" w:rsidR="00000000" w:rsidRPr="00000000">
        <w:rPr>
          <w:rFonts w:ascii="Times New Roman" w:cs="Times New Roman" w:eastAsia="Times New Roman" w:hAnsi="Times New Roman"/>
          <w:b w:val="1"/>
          <w:bCs w:val="1"/>
          <w:rtl w:val="0"/>
        </w:rPr>
        <w:t xml:space="preserve">"¿cuánta superficie de bosque está en riesgo de perderse en el corto plazo, y en qué sector?"</w:t>
      </w:r>
      <w:r w:rsidDel="00000000" w:rsidR="00000000" w:rsidRPr="00000000">
        <w:rPr>
          <w:rFonts w:ascii="Times New Roman" w:cs="Times New Roman" w:eastAsia="Times New Roman" w:hAnsi="Times New Roman"/>
          <w:rtl w:val="0"/>
        </w:rPr>
        <w:t xml:space="preserve">, permitiendo a BIODIVERSITY-GUARD anticipar la asignación de brigadas antes de que el daño se consolide.</w:t>
      </w:r>
    </w:p>
    <w:p w:rsidR="00000000" w:rsidDel="00000000" w:rsidP="00000000" w:rsidRDefault="00000000" w:rsidRPr="00000000" w14:paraId="00000056">
      <w:pPr>
        <w:numPr>
          <w:ilvl w:val="0"/>
          <w:numId w:val="2"/>
        </w:numPr>
        <w:spacing w:after="20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Frente 2 : </w:t>
      </w:r>
      <w:r w:rsidDel="00000000" w:rsidR="00000000" w:rsidRPr="00000000">
        <w:rPr>
          <w:rFonts w:ascii="Times New Roman" w:cs="Times New Roman" w:eastAsia="Times New Roman" w:hAnsi="Times New Roman"/>
          <w:rtl w:val="0"/>
        </w:rPr>
        <w:t xml:space="preserve">Nivel de Riesgo de Amenaza (variable categórica ordinal, 4 clases)</w:t>
      </w:r>
    </w:p>
    <w:p w:rsidR="00000000" w:rsidDel="00000000" w:rsidP="00000000" w:rsidRDefault="00000000" w:rsidRPr="00000000" w14:paraId="00000057">
      <w:pPr>
        <w:spacing w:after="20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busca </w:t>
      </w:r>
      <w:r w:rsidDel="00000000" w:rsidR="00000000" w:rsidRPr="00000000">
        <w:rPr>
          <w:rFonts w:ascii="Times New Roman" w:cs="Times New Roman" w:eastAsia="Times New Roman" w:hAnsi="Times New Roman"/>
          <w:b w:val="1"/>
          <w:bCs w:val="1"/>
          <w:rtl w:val="0"/>
        </w:rPr>
        <w:t xml:space="preserve">clasificar cada alerta detectada en uno de cuatro niveles (Bajo, Moderado, Alto o Crítico)</w:t>
      </w:r>
      <w:r w:rsidDel="00000000" w:rsidR="00000000" w:rsidRPr="00000000">
        <w:rPr>
          <w:rFonts w:ascii="Times New Roman" w:cs="Times New Roman" w:eastAsia="Times New Roman" w:hAnsi="Times New Roman"/>
          <w:rtl w:val="0"/>
        </w:rPr>
        <w:t xml:space="preserve"> en función del tipo de amenaza (tala, quema, minería, degradación), su ubicación respecto a áreas protegidas y su magnitud. Esta variable responde a la pregunta </w:t>
      </w:r>
      <w:r w:rsidDel="00000000" w:rsidR="00000000" w:rsidRPr="00000000">
        <w:rPr>
          <w:rFonts w:ascii="Times New Roman" w:cs="Times New Roman" w:eastAsia="Times New Roman" w:hAnsi="Times New Roman"/>
          <w:b w:val="1"/>
          <w:bCs w:val="1"/>
          <w:rtl w:val="0"/>
        </w:rPr>
        <w:t xml:space="preserve">"¿qué tan grave es esta alerta específica, y amerita una respuesta inmediata?"</w:t>
      </w:r>
      <w:r w:rsidDel="00000000" w:rsidR="00000000" w:rsidRPr="00000000">
        <w:rPr>
          <w:rFonts w:ascii="Times New Roman" w:cs="Times New Roman" w:eastAsia="Times New Roman" w:hAnsi="Times New Roman"/>
          <w:rtl w:val="0"/>
        </w:rPr>
        <w:t xml:space="preserve">, priorizando la atención de los guardaparques sobre los eventos de mayor impacto potencial en lugar de tratarlos todos por igual.</w:t>
      </w:r>
    </w:p>
    <w:p w:rsidR="00000000" w:rsidDel="00000000" w:rsidP="00000000" w:rsidRDefault="00000000" w:rsidRPr="00000000" w14:paraId="00000058">
      <w:pPr>
        <w:spacing w:after="20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Ambas variables se derivan de datos observados directamente por los sistemas de monitoreo de INPE (DETER); la metodología de construcción específica de cada una  (agregación temporal para </w:t>
      </w:r>
      <w:r w:rsidDel="00000000" w:rsidR="00000000" w:rsidRPr="00000000">
        <w:rPr>
          <w:rFonts w:ascii="Times New Roman" w:cs="Times New Roman" w:eastAsia="Times New Roman" w:hAnsi="Times New Roman"/>
          <w:rtl w:val="0"/>
        </w:rPr>
        <w:t xml:space="preserve">area_ha</w:t>
      </w:r>
      <w:r w:rsidDel="00000000" w:rsidR="00000000" w:rsidRPr="00000000">
        <w:rPr>
          <w:rFonts w:ascii="Times New Roman" w:cs="Times New Roman" w:eastAsia="Times New Roman" w:hAnsi="Times New Roman"/>
          <w:rtl w:val="0"/>
        </w:rPr>
        <w:t xml:space="preserve">, y la regla de severidad para el Nivel de Riesgo de Amenaza) se documenta en la fase de Data Preparation, una vez completado el análisis exploratorio.</w:t>
      </w:r>
      <w:r w:rsidDel="00000000" w:rsidR="00000000" w:rsidRPr="00000000">
        <w:rPr>
          <w:rtl w:val="0"/>
        </w:rPr>
      </w:r>
    </w:p>
    <w:p w:rsidR="00000000" w:rsidDel="00000000" w:rsidP="00000000" w:rsidRDefault="00000000" w:rsidRPr="00000000" w14:paraId="00000059">
      <w:pPr>
        <w:pStyle w:val="Heading3"/>
        <w:numPr>
          <w:ilvl w:val="2"/>
          <w:numId w:val="3"/>
        </w:numPr>
        <w:spacing w:after="200" w:line="276" w:lineRule="auto"/>
        <w:ind w:left="850.3937007874017" w:hanging="360"/>
        <w:rPr>
          <w:rFonts w:ascii="Times New Roman" w:cs="Times New Roman" w:eastAsia="Times New Roman" w:hAnsi="Times New Roman"/>
          <w:b w:val="1"/>
          <w:bCs w:val="1"/>
        </w:rPr>
      </w:pPr>
      <w:bookmarkStart w:colFirst="0" w:colLast="0" w:name="_4dh5yy5tgezx" w:id="10"/>
      <w:bookmarkEnd w:id="10"/>
      <w:r w:rsidDel="00000000" w:rsidR="00000000" w:rsidRPr="00000000">
        <w:rPr>
          <w:rtl w:val="0"/>
        </w:rPr>
        <w:t xml:space="preserve">Criterios de éxito técnico</w:t>
      </w:r>
      <w:r w:rsidDel="00000000" w:rsidR="00000000" w:rsidRPr="00000000">
        <w:rPr>
          <w:rtl w:val="0"/>
        </w:rPr>
      </w:r>
    </w:p>
    <w:p w:rsidR="00000000" w:rsidDel="00000000" w:rsidP="00000000" w:rsidRDefault="00000000" w:rsidRPr="00000000" w14:paraId="0000005A">
      <w:pPr>
        <w:spacing w:after="20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criterios de éxito se definen de forma diferenciada para cada frente, dado que corresponden a tareas de aprendizaje distintas:</w:t>
      </w:r>
    </w:p>
    <w:p w:rsidR="00000000" w:rsidDel="00000000" w:rsidP="00000000" w:rsidRDefault="00000000" w:rsidRPr="00000000" w14:paraId="0000005B">
      <w:pPr>
        <w:spacing w:after="20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Frente 1 (Regresión / Series temporales).</w:t>
      </w:r>
      <w:r w:rsidDel="00000000" w:rsidR="00000000" w:rsidRPr="00000000">
        <w:rPr>
          <w:rFonts w:ascii="Times New Roman" w:cs="Times New Roman" w:eastAsia="Times New Roman" w:hAnsi="Times New Roman"/>
          <w:rtl w:val="0"/>
        </w:rPr>
        <w:t xml:space="preserve"> El modelo se considerará técnicamente exitoso si:</w:t>
      </w:r>
    </w:p>
    <w:p w:rsidR="00000000" w:rsidDel="00000000" w:rsidP="00000000" w:rsidRDefault="00000000" w:rsidRPr="00000000" w14:paraId="0000005C">
      <w:pPr>
        <w:numPr>
          <w:ilvl w:val="0"/>
          <w:numId w:val="5"/>
        </w:numPr>
        <w:spacing w:after="20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Supera de forma consistente al baseline (regresión lineal simple) en las métricas MAE, RMSE y </w:t>
      </w:r>
      <w:r w:rsidDel="00000000" w:rsidR="00000000" w:rsidRPr="00000000">
        <w:rPr>
          <w:rFonts w:ascii="Times New Roman" w:cs="Times New Roman" w:eastAsia="Times New Roman" w:hAnsi="Times New Roman"/>
          <w:rtl w:val="0"/>
        </w:rPr>
        <w:t xml:space="preserve">R²  sobre</w:t>
      </w:r>
      <w:r w:rsidDel="00000000" w:rsidR="00000000" w:rsidRPr="00000000">
        <w:rPr>
          <w:rFonts w:ascii="Times New Roman" w:cs="Times New Roman" w:eastAsia="Times New Roman" w:hAnsi="Times New Roman"/>
          <w:rtl w:val="0"/>
        </w:rPr>
        <w:t xml:space="preserve"> el conjunto de validación.</w:t>
      </w:r>
    </w:p>
    <w:p w:rsidR="00000000" w:rsidDel="00000000" w:rsidP="00000000" w:rsidRDefault="00000000" w:rsidRPr="00000000" w14:paraId="0000005D">
      <w:pPr>
        <w:numPr>
          <w:ilvl w:val="0"/>
          <w:numId w:val="5"/>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Alcanza </w:t>
      </w:r>
      <w:r w:rsidDel="00000000" w:rsidR="00000000" w:rsidRPr="00000000">
        <w:rPr>
          <w:rFonts w:ascii="Times New Roman" w:cs="Times New Roman" w:eastAsia="Times New Roman" w:hAnsi="Times New Roman"/>
          <w:rtl w:val="0"/>
        </w:rPr>
        <w:t xml:space="preserve">un R²</w:t>
      </w:r>
      <w:r w:rsidDel="00000000" w:rsidR="00000000" w:rsidRPr="00000000">
        <w:rPr>
          <w:rFonts w:ascii="Gungsuh" w:cs="Gungsuh" w:eastAsia="Gungsuh" w:hAnsi="Gungsuh"/>
          <w:rtl w:val="0"/>
        </w:rPr>
        <w:t xml:space="preserve"> ≥ 0.60 en la predicción a 7 días, aceptando una degradación razonable a 30 días dado el mayor horizonte de incertidumbre.</w:t>
      </w:r>
    </w:p>
    <w:p w:rsidR="00000000" w:rsidDel="00000000" w:rsidP="00000000" w:rsidRDefault="00000000" w:rsidRPr="00000000" w14:paraId="0000005E">
      <w:pPr>
        <w:numPr>
          <w:ilvl w:val="0"/>
          <w:numId w:val="5"/>
        </w:numPr>
        <w:spacing w:after="20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error absoluto medio (MAE) se mantiene en un rango operativamente útil para la toma de decisiones de campo (a definir en hectáreas concretas una vez completado el EDA, según la escala típica de alerta por sector).</w:t>
      </w:r>
    </w:p>
    <w:p w:rsidR="00000000" w:rsidDel="00000000" w:rsidP="00000000" w:rsidRDefault="00000000" w:rsidRPr="00000000" w14:paraId="0000005F">
      <w:pPr>
        <w:spacing w:after="200" w:befor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20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Frente 2 (Clasificación supervisada multiclase).</w:t>
      </w:r>
      <w:r w:rsidDel="00000000" w:rsidR="00000000" w:rsidRPr="00000000">
        <w:rPr>
          <w:rFonts w:ascii="Times New Roman" w:cs="Times New Roman" w:eastAsia="Times New Roman" w:hAnsi="Times New Roman"/>
          <w:rtl w:val="0"/>
        </w:rPr>
        <w:t xml:space="preserve"> El modelo se considerará técnicamente exitoso si:</w:t>
      </w:r>
    </w:p>
    <w:p w:rsidR="00000000" w:rsidDel="00000000" w:rsidP="00000000" w:rsidRDefault="00000000" w:rsidRPr="00000000" w14:paraId="00000061">
      <w:pPr>
        <w:numPr>
          <w:ilvl w:val="0"/>
          <w:numId w:val="4"/>
        </w:numPr>
        <w:spacing w:after="200" w:before="24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Alcanza un F1-score macro ≥ 0.70, priorizando esta métrica sobre el accuracy simple dado el desbalance de clases ya identificado en el EDA (la clase "Moderado" concentra la mayoría de los casos, mientras "Crítico" es minoritaria).</w:t>
      </w:r>
    </w:p>
    <w:p w:rsidR="00000000" w:rsidDel="00000000" w:rsidP="00000000" w:rsidRDefault="00000000" w:rsidRPr="00000000" w14:paraId="00000062">
      <w:pPr>
        <w:numPr>
          <w:ilvl w:val="0"/>
          <w:numId w:val="4"/>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Prioriza especialmente el recall de la clase "Crítico": un falso negativo en esta clase (una amenaza crítica clasificada como Bajo o Moderado) tiene un costo operativo mucho mayor que el caso inverso, por lo que el umbral de éxito para esta clase específica se fija de forma más exigente que para las demás.</w:t>
      </w:r>
    </w:p>
    <w:p w:rsidR="00000000" w:rsidDel="00000000" w:rsidP="00000000" w:rsidRDefault="00000000" w:rsidRPr="00000000" w14:paraId="00000063">
      <w:pPr>
        <w:numPr>
          <w:ilvl w:val="0"/>
          <w:numId w:val="4"/>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Supera de forma consistente al baseline (árbol de decisión simple) en F1 macro y en la matriz de confusión, evidenciando una reducción real de la confusión entre clases adyacentes (Alto/Crítico, Bajo/Moderado).</w:t>
      </w:r>
    </w:p>
    <w:p w:rsidR="00000000" w:rsidDel="00000000" w:rsidP="00000000" w:rsidRDefault="00000000" w:rsidRPr="00000000" w14:paraId="00000064">
      <w:pPr>
        <w:spacing w:after="20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1"/>
        <w:numPr>
          <w:ilvl w:val="1"/>
          <w:numId w:val="3"/>
        </w:numPr>
        <w:spacing w:after="200" w:before="0" w:line="276" w:lineRule="auto"/>
        <w:ind w:firstLine="300"/>
        <w:rPr>
          <w:rFonts w:ascii="Times New Roman" w:cs="Times New Roman" w:eastAsia="Times New Roman" w:hAnsi="Times New Roman"/>
          <w:b w:val="1"/>
          <w:bCs w:val="1"/>
        </w:rPr>
      </w:pPr>
      <w:bookmarkStart w:colFirst="0" w:colLast="0" w:name="_3gmud3wuvy4p" w:id="11"/>
      <w:bookmarkEnd w:id="11"/>
      <w:r w:rsidDel="00000000" w:rsidR="00000000" w:rsidRPr="00000000">
        <w:rPr>
          <w:rtl w:val="0"/>
        </w:rPr>
        <w:t xml:space="preserve">Data Understanding &amp; Exploratory Data Analysis (EDA) </w:t>
      </w:r>
    </w:p>
    <w:p w:rsidR="00000000" w:rsidDel="00000000" w:rsidP="00000000" w:rsidRDefault="00000000" w:rsidRPr="00000000" w14:paraId="00000066">
      <w:pPr>
        <w:pStyle w:val="Heading3"/>
        <w:numPr>
          <w:ilvl w:val="2"/>
          <w:numId w:val="3"/>
        </w:numPr>
        <w:spacing w:after="200" w:lineRule="auto"/>
        <w:ind w:left="850.3937007874017" w:hanging="360"/>
        <w:rPr>
          <w:rFonts w:ascii="Times New Roman" w:cs="Times New Roman" w:eastAsia="Times New Roman" w:hAnsi="Times New Roman"/>
          <w:b w:val="1"/>
          <w:bCs w:val="1"/>
        </w:rPr>
      </w:pPr>
      <w:bookmarkStart w:colFirst="0" w:colLast="0" w:name="_wum7xrro1d5v" w:id="12"/>
      <w:bookmarkEnd w:id="12"/>
      <w:r w:rsidDel="00000000" w:rsidR="00000000" w:rsidRPr="00000000">
        <w:rPr>
          <w:rtl w:val="0"/>
        </w:rPr>
        <w:t xml:space="preserve">Descripción de las fuentes de datos</w:t>
      </w:r>
      <w:r w:rsidDel="00000000" w:rsidR="00000000" w:rsidRPr="00000000">
        <w:rPr>
          <w:rtl w:val="0"/>
        </w:rPr>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integra cuatro fuentes abiertas del INPE (y, para NASA POWER, de la NASA), todas correspondientes al periodo 2022-01-01 a 2024-12-31 sobre la Amazonía Legal brasileña:</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3.3406977173145"/>
        <w:gridCol w:w="2851.89259203089"/>
        <w:gridCol w:w="2118.951497538602"/>
        <w:gridCol w:w="2471.3270237368174"/>
        <w:tblGridChange w:id="0">
          <w:tblGrid>
            <w:gridCol w:w="1583.3406977173145"/>
            <w:gridCol w:w="2851.89259203089"/>
            <w:gridCol w:w="2118.951497538602"/>
            <w:gridCol w:w="2471.327023736817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aporta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Nivel de registro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Volumen</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Alertas de deforestación (tipo de amenaza, ubicación, área)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fila por alerta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49,971 alertas, 424 municipios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BDQueimadas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Focos de calor, precipitación, días sin lluvia, riesgo de fuego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foco de calor detectado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354,018 registros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Reanálisis atmosférico (PM2.5, PM10, O3, NO2, CO, SO2)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valor diario por municipio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885,934 registros, cobertura del 100% de municipios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 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Temperatura, humedad relativa, velocidad del viento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valor diario por centroide de municipio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465,800 registros, cobertura del 100%</w:t>
            </w:r>
          </w:p>
        </w:tc>
      </w:tr>
    </w:tbl>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3"/>
        <w:numPr>
          <w:ilvl w:val="2"/>
          <w:numId w:val="3"/>
        </w:numPr>
        <w:spacing w:after="200" w:lineRule="auto"/>
        <w:ind w:left="850.3937007874017" w:hanging="360"/>
        <w:rPr>
          <w:rFonts w:ascii="Times New Roman" w:cs="Times New Roman" w:eastAsia="Times New Roman" w:hAnsi="Times New Roman"/>
          <w:b w:val="1"/>
          <w:bCs w:val="1"/>
        </w:rPr>
      </w:pPr>
      <w:bookmarkStart w:colFirst="0" w:colLast="0" w:name="_vmkbq3mdgijt" w:id="13"/>
      <w:bookmarkEnd w:id="13"/>
      <w:r w:rsidDel="00000000" w:rsidR="00000000" w:rsidRPr="00000000">
        <w:rPr>
          <w:rtl w:val="0"/>
        </w:rPr>
        <w:t xml:space="preserve">Unificación de granularidad como requisito de Data Understanding </w:t>
      </w:r>
      <w:r w:rsidDel="00000000" w:rsidR="00000000" w:rsidRPr="00000000">
        <w:rPr>
          <w:rtl w:val="0"/>
        </w:rPr>
      </w:r>
    </w:p>
    <w:p w:rsidR="00000000" w:rsidDel="00000000" w:rsidP="00000000" w:rsidRDefault="00000000" w:rsidRPr="00000000" w14:paraId="0000007F">
      <w:pPr>
        <w:spacing w:after="24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cuatro fuentes tienen naturalezas y frecuencias distintas: DETER reporta eventos puntuales (una alerta en una fecha exacta), BDQueimadas reporta detecciones de calor solo cuando ocurren, mientras que SISAM y NASA POWER son productos de reanálisis/modelo con un valor diario garantizado para todos los municipios. Para permitir el análisis de correlaciones entre fuentes de distinta naturaleza fue necesario unificar la granularidad temporal y espacial de los datos desde esta fase, mediante dos estrategias diferenciadas según el frente:</w:t>
      </w:r>
    </w:p>
    <w:p w:rsidR="00000000" w:rsidDel="00000000" w:rsidP="00000000" w:rsidRDefault="00000000" w:rsidRPr="00000000" w14:paraId="00000080">
      <w:pPr>
        <w:numPr>
          <w:ilvl w:val="0"/>
          <w:numId w:val="1"/>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Frente 2 (clasificación por alerta):</w:t>
      </w:r>
      <w:r w:rsidDel="00000000" w:rsidR="00000000" w:rsidRPr="00000000">
        <w:rPr>
          <w:rFonts w:ascii="Times New Roman" w:cs="Times New Roman" w:eastAsia="Times New Roman" w:hAnsi="Times New Roman"/>
          <w:rtl w:val="0"/>
        </w:rPr>
        <w:t xml:space="preserve"> cada alerta se enriquece con el promedio de las variables climáticas de los </w:t>
      </w:r>
      <w:r w:rsidDel="00000000" w:rsidR="00000000" w:rsidRPr="00000000">
        <w:rPr>
          <w:rFonts w:ascii="Times New Roman" w:cs="Times New Roman" w:eastAsia="Times New Roman" w:hAnsi="Times New Roman"/>
          <w:b w:val="1"/>
          <w:bCs w:val="1"/>
          <w:rtl w:val="0"/>
        </w:rPr>
        <w:t xml:space="preserve">7 días previos</w:t>
      </w:r>
      <w:r w:rsidDel="00000000" w:rsidR="00000000" w:rsidRPr="00000000">
        <w:rPr>
          <w:rFonts w:ascii="Times New Roman" w:cs="Times New Roman" w:eastAsia="Times New Roman" w:hAnsi="Times New Roman"/>
          <w:rtl w:val="0"/>
        </w:rPr>
        <w:t xml:space="preserve"> a su fecha exacta de detección, calculado por municipio. Se utiliza una ventana retrospectiva y no la semana calendario completa para evitar fuga de información (</w:t>
      </w:r>
      <w:r w:rsidDel="00000000" w:rsidR="00000000" w:rsidRPr="00000000">
        <w:rPr>
          <w:rFonts w:ascii="Times New Roman" w:cs="Times New Roman" w:eastAsia="Times New Roman" w:hAnsi="Times New Roman"/>
          <w:i w:val="1"/>
          <w:iCs w:val="1"/>
          <w:rtl w:val="0"/>
        </w:rPr>
        <w:t xml:space="preserve">data leakage</w:t>
      </w:r>
      <w:r w:rsidDel="00000000" w:rsidR="00000000" w:rsidRPr="00000000">
        <w:rPr>
          <w:rFonts w:ascii="Times New Roman" w:cs="Times New Roman" w:eastAsia="Times New Roman" w:hAnsi="Times New Roman"/>
          <w:rtl w:val="0"/>
        </w:rPr>
        <w:t xml:space="preserve">): usar el clima de días posteriores a una alerta para "explicar" esa misma alerta introduciría información que no existía en el momento del evento.</w:t>
      </w:r>
    </w:p>
    <w:p w:rsidR="00000000" w:rsidDel="00000000" w:rsidP="00000000" w:rsidRDefault="00000000" w:rsidRPr="00000000" w14:paraId="00000081">
      <w:pPr>
        <w:numPr>
          <w:ilvl w:val="0"/>
          <w:numId w:val="1"/>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Frente 1 (regresión semanal):</w:t>
      </w:r>
      <w:r w:rsidDel="00000000" w:rsidR="00000000" w:rsidRPr="00000000">
        <w:rPr>
          <w:rFonts w:ascii="Times New Roman" w:cs="Times New Roman" w:eastAsia="Times New Roman" w:hAnsi="Times New Roman"/>
          <w:rtl w:val="0"/>
        </w:rPr>
        <w:t xml:space="preserve"> las alertas y las variables climáticas se agregan por semana calendario y municipio, ya que en este caso cada fila representa la semana completa como unidad de análisis, no un evento puntual dentro de ella.</w:t>
      </w:r>
    </w:p>
    <w:p w:rsidR="00000000" w:rsidDel="00000000" w:rsidP="00000000" w:rsidRDefault="00000000" w:rsidRPr="00000000" w14:paraId="00000082">
      <w:pPr>
        <w:spacing w:after="24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unificación es un requisito técnico para la exploración conjunta, y se distingue de la construcción de variables objetivo (</w:t>
      </w:r>
      <w:r w:rsidDel="00000000" w:rsidR="00000000" w:rsidRPr="00000000">
        <w:rPr>
          <w:rFonts w:ascii="Times New Roman" w:cs="Times New Roman" w:eastAsia="Times New Roman" w:hAnsi="Times New Roman"/>
          <w:b w:val="1"/>
          <w:bCs w:val="1"/>
          <w:rtl w:val="0"/>
        </w:rPr>
        <w:t xml:space="preserve">score_riesgo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Nivel_Riesgo_Amenaza</w:t>
      </w:r>
      <w:r w:rsidDel="00000000" w:rsidR="00000000" w:rsidRPr="00000000">
        <w:rPr>
          <w:rFonts w:ascii="Times New Roman" w:cs="Times New Roman" w:eastAsia="Times New Roman" w:hAnsi="Times New Roman"/>
          <w:rtl w:val="0"/>
        </w:rPr>
        <w:t xml:space="preserve">), que se documenta explícitamente en la sección de Data Preparation (Hito 2) por tratarse de reglas de negocio derivadas, no de datos observados directamente. El presente EDA se realiza, por tanto, sobre las variables originales de cada fuente ya unificadas en granularidad, excluyendo dichas variables derivadas.</w:t>
      </w:r>
    </w:p>
    <w:p w:rsidR="00000000" w:rsidDel="00000000" w:rsidP="00000000" w:rsidRDefault="00000000" w:rsidRPr="00000000" w14:paraId="00000083">
      <w:pPr>
        <w:spacing w:after="24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se identificó que un pequeño subconjunto de municipios comparte el mismo nombre en distintos estados de la Amazonía Legal (por ejemplo, Pau D'Arco existe tanto en Pará como en Tocantins), por lo que la clave de unificación entre fuentes se definió como el par (municipio normalizado, estado) y no el nombre de municipio de forma aislada, evitando la mezcla de datos de localidades distintas.</w:t>
      </w:r>
    </w:p>
    <w:p w:rsidR="00000000" w:rsidDel="00000000" w:rsidP="00000000" w:rsidRDefault="00000000" w:rsidRPr="00000000" w14:paraId="00000084">
      <w:pPr>
        <w:pStyle w:val="Heading3"/>
        <w:numPr>
          <w:ilvl w:val="2"/>
          <w:numId w:val="3"/>
        </w:numPr>
        <w:spacing w:after="200" w:lineRule="auto"/>
        <w:ind w:left="850.3937007874017" w:hanging="360"/>
        <w:rPr>
          <w:rFonts w:ascii="Times New Roman" w:cs="Times New Roman" w:eastAsia="Times New Roman" w:hAnsi="Times New Roman"/>
          <w:b w:val="1"/>
          <w:bCs w:val="1"/>
        </w:rPr>
      </w:pPr>
      <w:bookmarkStart w:colFirst="0" w:colLast="0" w:name="_usm6kubg3ftw" w:id="14"/>
      <w:bookmarkEnd w:id="14"/>
      <w:r w:rsidDel="00000000" w:rsidR="00000000" w:rsidRPr="00000000">
        <w:rPr>
          <w:rtl w:val="0"/>
        </w:rPr>
        <w:t xml:space="preserve">Unificación de granularidad como requisito de Data Understanding </w:t>
      </w:r>
      <w:r w:rsidDel="00000000" w:rsidR="00000000" w:rsidRPr="00000000">
        <w:rPr>
          <w:rtl w:val="0"/>
        </w:rPr>
      </w:r>
    </w:p>
    <w:p w:rsidR="00000000" w:rsidDel="00000000" w:rsidP="00000000" w:rsidRDefault="00000000" w:rsidRPr="00000000" w14:paraId="00000085">
      <w:pPr>
        <w:spacing w:after="24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documentan las variables de las dos vistas construidas sobre las cuatro fuentes integradas (DETER, BDQueimadas, SISAM y NASA POWER), excluyendo las variables objetivo derivadas (</w:t>
      </w:r>
      <w:r w:rsidDel="00000000" w:rsidR="00000000" w:rsidRPr="00000000">
        <w:rPr>
          <w:rFonts w:ascii="Times New Roman" w:cs="Times New Roman" w:eastAsia="Times New Roman" w:hAnsi="Times New Roman"/>
          <w:rtl w:val="0"/>
        </w:rPr>
        <w:t xml:space="preserve">score_riesgo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Nivel_Riesgo_Amenaza</w:t>
      </w:r>
      <w:r w:rsidDel="00000000" w:rsidR="00000000" w:rsidRPr="00000000">
        <w:rPr>
          <w:rFonts w:ascii="Times New Roman" w:cs="Times New Roman" w:eastAsia="Times New Roman" w:hAnsi="Times New Roman"/>
          <w:rtl w:val="0"/>
        </w:rPr>
        <w:t xml:space="preserve">), que se documentan en la sección de Data Preparation (Hito 2). </w:t>
      </w:r>
    </w:p>
    <w:p w:rsidR="00000000" w:rsidDel="00000000" w:rsidP="00000000" w:rsidRDefault="00000000" w:rsidRPr="00000000" w14:paraId="00000086">
      <w:pPr>
        <w:keepNext w:val="0"/>
        <w:keepLines w:val="0"/>
        <w:spacing w:after="80" w:before="2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Vista 1: dataset_alertas (nivel de alerta individual - Frente 2)</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1410"/>
        <w:gridCol w:w="4890"/>
        <w:tblGridChange w:id="0">
          <w:tblGrid>
            <w:gridCol w:w="2730"/>
            <w:gridCol w:w="1410"/>
            <w:gridCol w:w="4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id_alerta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 la alerta, construido por el equipo</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original de INPE (no confiable como clave única, ver hallazgos de limpieza)</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amenaza detectada: tala total, quema, degradación, minería, corte selectivo, entre otros</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exacta de detección satelital de la alerta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publish_month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 de publicación oficial de la alerta</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satellite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y satélite que capturaron la imagen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municipality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municipio_norm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municipio (original y normalizado, sin tildes ni mayúsculas)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mun_geocod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oficial IBGE del municipio</w:t>
            </w:r>
          </w:p>
        </w:tc>
      </w:tr>
      <w:tr>
        <w:trPr>
          <w:cantSplit w:val="0"/>
          <w:trHeight w:val="752.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brasileño (abreviatura); junto con </w:t>
            </w:r>
            <w:r w:rsidDel="00000000" w:rsidR="00000000" w:rsidRPr="00000000">
              <w:rPr>
                <w:rFonts w:ascii="Times New Roman" w:cs="Times New Roman" w:eastAsia="Times New Roman" w:hAnsi="Times New Roman"/>
                <w:rtl w:val="0"/>
              </w:rPr>
              <w:t xml:space="preserve">municipio_norm</w:t>
            </w:r>
            <w:r w:rsidDel="00000000" w:rsidR="00000000" w:rsidRPr="00000000">
              <w:rPr>
                <w:rFonts w:ascii="Times New Roman" w:cs="Times New Roman" w:eastAsia="Times New Roman" w:hAnsi="Times New Roman"/>
                <w:rtl w:val="0"/>
              </w:rPr>
              <w:t xml:space="preserve"> forma la clave de cruce entre fuentes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Coordenadas del centroide del polígono de la alerta</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area_ha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Hectáreas afectadas por la alerta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areauckm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(km²) del polígono que cae dentro de una Unidad de Conservación, si aplica</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dentro_area_protegida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 binario: 1 si la alerta cae en área protegida</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Unidad de Conservación afectada</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num_incendios_7d_previo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BDQueimadas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Focos de calor detectados en los 7 días previos a la alerta, mismo municipio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frp_total_7d_previo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BDQueimadas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Intensidad energética total (MW) de esos focos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precipitacion_promedio_7d_previo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BDQueimadas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Lluvia promedio (mm) de los 7 días previos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dias_sin_lluvia_promedio_7d_previo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BDQueimadas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consecutivos sin lluvia, promedio de la ventana</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riesgo_fuego_promedio_7d_previo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BDQueimadas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 de riesgo de incendio (0-1), ya calculado por INPE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pm10_reanalise_7d_previo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pm2_5_reanalise_7d_previo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particulado promedio de los 7 días previos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o3_reanalise_7d_previo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no2_reanalise_7d_previo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co_reanalise_7d_previo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so2_reanalise_7d_previo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Concentración promedio de ozono, dióxido de nitrógeno, monóxido de carbono y dióxido de azufre</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T2M_7d_previo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Temperatura del aire promedio (°C) de los 7 días previos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RH2M_7d_previo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Humedad relativa promedio (%) de los 7 días previos</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WS2M_7d_previo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del viento promedio (m/s) de los 7 días previos</w:t>
            </w:r>
          </w:p>
        </w:tc>
      </w:tr>
    </w:tbl>
    <w:p w:rsidR="00000000" w:rsidDel="00000000" w:rsidP="00000000" w:rsidRDefault="00000000" w:rsidRPr="00000000" w14:paraId="000000D2">
      <w:pPr>
        <w:pStyle w:val="Heading3"/>
        <w:keepNext w:val="0"/>
        <w:keepLines w:val="0"/>
        <w:spacing w:after="80" w:before="280" w:lineRule="auto"/>
        <w:ind w:left="0" w:firstLine="0"/>
        <w:rPr/>
      </w:pPr>
      <w:bookmarkStart w:colFirst="0" w:colLast="0" w:name="_x9b4wxp8o6ok" w:id="15"/>
      <w:bookmarkEnd w:id="15"/>
      <w:r w:rsidDel="00000000" w:rsidR="00000000" w:rsidRPr="00000000">
        <w:br w:type="page"/>
      </w:r>
      <w:r w:rsidDel="00000000" w:rsidR="00000000" w:rsidRPr="00000000">
        <w:rPr>
          <w:rtl w:val="0"/>
        </w:rPr>
      </w:r>
    </w:p>
    <w:p w:rsidR="00000000" w:rsidDel="00000000" w:rsidP="00000000" w:rsidRDefault="00000000" w:rsidRPr="00000000" w14:paraId="000000D3">
      <w:pPr>
        <w:keepNext w:val="0"/>
        <w:keepLines w:val="0"/>
        <w:spacing w:after="80" w:before="2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Vista 2: dataset_semanal (semana + municipio - Frente 1)</w:t>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845"/>
        <w:gridCol w:w="4365"/>
        <w:tblGridChange w:id="0">
          <w:tblGrid>
            <w:gridCol w:w="2820"/>
            <w:gridCol w:w="1845"/>
            <w:gridCol w:w="43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calendario (lunes de esa semana)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municipio_norm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Municipio y estado (clave de cruce entre fuentes)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num_alertas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alertas de deforestación en ese municipio esa semana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area_ha_total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Hectáreas totales afectadas esa semana en ese municipio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num_incendios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BDQueimadas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Focos de calor detectados esa semana en ese municipio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frp_total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frp_promedio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BDQueimadas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Intensidad energética total y promedio de esos focos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precipitacion_promedio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BDQueimadas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Lluvia promedio (mm) de la semana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dias_sin_lluvia_promedio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BDQueimadas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consecutivos sin lluvia, promedio de la semana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riesgo_fuego_promedio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BDQueimadas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 de riesgo de incendio promedio de la semana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pm10_reanalise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pm2_5_reanalise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particulado promedio de la semana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o3_reanalise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no2_reanalise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co_reanalise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so2_reanalise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Concentración promedio semanal de cada contaminante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Temperatura del aire promedio (°C) de la semana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RH2M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Humedad relativa promedio (%) de la semana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WS2M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del viento promedio (m/s) de la semana</w:t>
            </w:r>
          </w:p>
        </w:tc>
      </w:tr>
    </w:tbl>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3"/>
        <w:numPr>
          <w:ilvl w:val="2"/>
          <w:numId w:val="3"/>
        </w:numPr>
        <w:spacing w:after="200" w:before="0" w:lineRule="auto"/>
        <w:ind w:left="850.3937007874017" w:hanging="360"/>
        <w:rPr>
          <w:rFonts w:ascii="Times New Roman" w:cs="Times New Roman" w:eastAsia="Times New Roman" w:hAnsi="Times New Roman"/>
          <w:b w:val="1"/>
          <w:bCs w:val="1"/>
        </w:rPr>
      </w:pPr>
      <w:bookmarkStart w:colFirst="0" w:colLast="0" w:name="_1zr36fcni00x" w:id="16"/>
      <w:bookmarkEnd w:id="16"/>
      <w:r w:rsidDel="00000000" w:rsidR="00000000" w:rsidRPr="00000000">
        <w:rPr>
          <w:rtl w:val="0"/>
        </w:rPr>
        <w:t xml:space="preserve">Análisis exploratorio de los datos (EDA)</w:t>
      </w:r>
    </w:p>
    <w:p w:rsidR="00000000" w:rsidDel="00000000" w:rsidP="00000000" w:rsidRDefault="00000000" w:rsidRPr="00000000" w14:paraId="00000106">
      <w:pPr>
        <w:pStyle w:val="Heading4"/>
        <w:numPr>
          <w:ilvl w:val="3"/>
          <w:numId w:val="3"/>
        </w:numPr>
        <w:spacing w:after="200" w:before="0" w:lineRule="auto"/>
        <w:ind w:left="1133.858267716535" w:hanging="473.8582677165351"/>
        <w:rPr/>
      </w:pPr>
      <w:bookmarkStart w:colFirst="0" w:colLast="0" w:name="_qqhnhkx0pddq" w:id="17"/>
      <w:bookmarkEnd w:id="17"/>
      <w:r w:rsidDel="00000000" w:rsidR="00000000" w:rsidRPr="00000000">
        <w:rPr>
          <w:rtl w:val="0"/>
        </w:rPr>
        <w:t xml:space="preserve">Estadísticas descriptivas generales </w:t>
      </w:r>
    </w:p>
    <w:p w:rsidR="00000000" w:rsidDel="00000000" w:rsidP="00000000" w:rsidRDefault="00000000" w:rsidRPr="00000000" w14:paraId="00000107">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estadísticas descriptivas confirman una fuerte asimetría en ambas variables objetivo: </w:t>
      </w:r>
      <w:r w:rsidDel="00000000" w:rsidR="00000000" w:rsidRPr="00000000">
        <w:rPr>
          <w:rFonts w:ascii="Times New Roman" w:cs="Times New Roman" w:eastAsia="Times New Roman" w:hAnsi="Times New Roman"/>
          <w:b w:val="1"/>
          <w:bCs w:val="1"/>
          <w:rtl w:val="0"/>
        </w:rPr>
        <w:t xml:space="preserve">area_ha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presenta una mediana de 19.26 ha frente a una media de 66.73 ha (máximo 19,849.76 ha), y </w:t>
      </w:r>
      <w:r w:rsidDel="00000000" w:rsidR="00000000" w:rsidRPr="00000000">
        <w:rPr>
          <w:rFonts w:ascii="Times New Roman" w:cs="Times New Roman" w:eastAsia="Times New Roman" w:hAnsi="Times New Roman"/>
          <w:b w:val="1"/>
          <w:bCs w:val="1"/>
          <w:rtl w:val="0"/>
        </w:rPr>
        <w:t xml:space="preserve">area_ha_total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una mediana de 45.02 ha frente a una media de 291.37 ha (máximo 55,192.06 ha). Entre las variables climáticas destacan máximos altos en </w:t>
      </w:r>
      <w:r w:rsidDel="00000000" w:rsidR="00000000" w:rsidRPr="00000000">
        <w:rPr>
          <w:rFonts w:ascii="Times New Roman" w:cs="Times New Roman" w:eastAsia="Times New Roman" w:hAnsi="Times New Roman"/>
          <w:b w:val="1"/>
          <w:bCs w:val="1"/>
          <w:rtl w:val="0"/>
        </w:rPr>
        <w:t xml:space="preserve">pm10_reanalise_7d_previo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(1,113 µg/m³) y </w:t>
      </w:r>
      <w:r w:rsidDel="00000000" w:rsidR="00000000" w:rsidRPr="00000000">
        <w:rPr>
          <w:rFonts w:ascii="Times New Roman" w:cs="Times New Roman" w:eastAsia="Times New Roman" w:hAnsi="Times New Roman"/>
          <w:b w:val="1"/>
          <w:bCs w:val="1"/>
          <w:rtl w:val="0"/>
        </w:rPr>
        <w:t xml:space="preserve">frp_total_7d_previo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(198,186 MW), que anticipan los eventos extremos analizados en la siguiente sección. Solo el 7.01% de las alertas caen dentro de un área protegida, y se registra un máximo de 390 alertas en una sola semana/municipio. </w:t>
      </w:r>
    </w:p>
    <w:p w:rsidR="00000000" w:rsidDel="00000000" w:rsidP="00000000" w:rsidRDefault="00000000" w:rsidRPr="00000000" w14:paraId="00000108">
      <w:pPr>
        <w:pStyle w:val="Heading4"/>
        <w:numPr>
          <w:ilvl w:val="3"/>
          <w:numId w:val="3"/>
        </w:numPr>
        <w:spacing w:after="200" w:before="0" w:lineRule="auto"/>
        <w:rPr>
          <w:rFonts w:ascii="Times New Roman" w:cs="Times New Roman" w:eastAsia="Times New Roman" w:hAnsi="Times New Roman"/>
          <w:b w:val="1"/>
          <w:bCs w:val="1"/>
        </w:rPr>
      </w:pPr>
      <w:bookmarkStart w:colFirst="0" w:colLast="0" w:name="_42f7usee37hi" w:id="18"/>
      <w:bookmarkEnd w:id="18"/>
      <w:r w:rsidDel="00000000" w:rsidR="00000000" w:rsidRPr="00000000">
        <w:rPr>
          <w:rtl w:val="0"/>
        </w:rPr>
        <w:t xml:space="preserve">Identificación de valores faltantes </w:t>
      </w:r>
      <w:r w:rsidDel="00000000" w:rsidR="00000000" w:rsidRPr="00000000">
        <w:rPr>
          <w:rtl w:val="0"/>
        </w:rPr>
      </w:r>
    </w:p>
    <w:p w:rsidR="00000000" w:rsidDel="00000000" w:rsidP="00000000" w:rsidRDefault="00000000" w:rsidRPr="00000000" w14:paraId="00000109">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Las variables </w:t>
      </w:r>
      <w:r w:rsidDel="00000000" w:rsidR="00000000" w:rsidRPr="00000000">
        <w:rPr>
          <w:rFonts w:ascii="Times New Roman" w:cs="Times New Roman" w:eastAsia="Times New Roman" w:hAnsi="Times New Roman"/>
          <w:b w:val="1"/>
          <w:bCs w:val="1"/>
          <w:rtl w:val="0"/>
        </w:rPr>
        <w:t xml:space="preserve">precipitacion_promedio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dias_sin_lluvia_promedio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1"/>
          <w:bCs w:val="1"/>
          <w:rtl w:val="0"/>
        </w:rPr>
        <w:t xml:space="preserve">riesgo_fuego_promedio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(BDQueimadas) presentan 18% de nulos en </w:t>
      </w:r>
      <w:r w:rsidDel="00000000" w:rsidR="00000000" w:rsidRPr="00000000">
        <w:rPr>
          <w:rFonts w:ascii="Times New Roman" w:cs="Times New Roman" w:eastAsia="Times New Roman" w:hAnsi="Times New Roman"/>
          <w:b w:val="1"/>
          <w:bCs w:val="1"/>
          <w:rtl w:val="0"/>
        </w:rPr>
        <w:t xml:space="preserve">dataset_alertas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y 32% en </w:t>
      </w:r>
      <w:r w:rsidDel="00000000" w:rsidR="00000000" w:rsidRPr="00000000">
        <w:rPr>
          <w:rFonts w:ascii="Times New Roman" w:cs="Times New Roman" w:eastAsia="Times New Roman" w:hAnsi="Times New Roman"/>
          <w:b w:val="1"/>
          <w:bCs w:val="1"/>
          <w:rtl w:val="0"/>
        </w:rPr>
        <w:t xml:space="preserve">dataset_semanal</w:t>
      </w:r>
      <w:r w:rsidDel="00000000" w:rsidR="00000000" w:rsidRPr="00000000">
        <w:rPr>
          <w:rFonts w:ascii="Times New Roman" w:cs="Times New Roman" w:eastAsia="Times New Roman" w:hAnsi="Times New Roman"/>
          <w:rtl w:val="0"/>
        </w:rPr>
        <w:t xml:space="preserve">, no por error, sino porque esta fuente solo reporta clima cuando detecta un foco de calor activo. La variable </w:t>
      </w:r>
      <w:r w:rsidDel="00000000" w:rsidR="00000000" w:rsidRPr="00000000">
        <w:rPr>
          <w:rFonts w:ascii="Times New Roman" w:cs="Times New Roman" w:eastAsia="Times New Roman" w:hAnsi="Times New Roman"/>
          <w:rtl w:val="0"/>
        </w:rPr>
        <w:t xml:space="preserve">uc</w:t>
      </w:r>
      <w:r w:rsidDel="00000000" w:rsidR="00000000" w:rsidRPr="00000000">
        <w:rPr>
          <w:rFonts w:ascii="Times New Roman" w:cs="Times New Roman" w:eastAsia="Times New Roman" w:hAnsi="Times New Roman"/>
          <w:rtl w:val="0"/>
        </w:rPr>
        <w:t xml:space="preserve"> (92.99% nulos) es igualmente informativa: su ausencia indica que la alerta no cae en ninguna Unidad de Conservación. En contraste, SISAM y NASA POWER, al ser productos de reanálisis con cobertura diaria completa, no presentan ningún valor faltante, lo que confirma el valor de haberlas incorporado como complemento de BDQueimadas. </w:t>
      </w:r>
      <w:r w:rsidDel="00000000" w:rsidR="00000000" w:rsidRPr="00000000">
        <w:rPr>
          <w:rtl w:val="0"/>
        </w:rPr>
      </w:r>
    </w:p>
    <w:p w:rsidR="00000000" w:rsidDel="00000000" w:rsidP="00000000" w:rsidRDefault="00000000" w:rsidRPr="00000000" w14:paraId="0000010A">
      <w:pPr>
        <w:pStyle w:val="Heading4"/>
        <w:numPr>
          <w:ilvl w:val="3"/>
          <w:numId w:val="3"/>
        </w:numPr>
        <w:spacing w:after="200" w:before="0" w:lineRule="auto"/>
        <w:rPr>
          <w:rFonts w:ascii="Times New Roman" w:cs="Times New Roman" w:eastAsia="Times New Roman" w:hAnsi="Times New Roman"/>
          <w:b w:val="1"/>
          <w:bCs w:val="1"/>
        </w:rPr>
      </w:pPr>
      <w:bookmarkStart w:colFirst="0" w:colLast="0" w:name="_fxeu9pn3ax35" w:id="19"/>
      <w:bookmarkEnd w:id="19"/>
      <w:r w:rsidDel="00000000" w:rsidR="00000000" w:rsidRPr="00000000">
        <w:rPr>
          <w:rtl w:val="0"/>
        </w:rPr>
        <w:t xml:space="preserve">Identificación de valores atípicos (outliers) </w:t>
      </w:r>
      <w:r w:rsidDel="00000000" w:rsidR="00000000" w:rsidRPr="00000000">
        <w:rPr>
          <w:rtl w:val="0"/>
        </w:rPr>
      </w:r>
    </w:p>
    <w:p w:rsidR="00000000" w:rsidDel="00000000" w:rsidP="00000000" w:rsidRDefault="00000000" w:rsidRPr="00000000" w14:paraId="0000010B">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area_ha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1"/>
          <w:bCs w:val="1"/>
          <w:rtl w:val="0"/>
        </w:rPr>
        <w:t xml:space="preserve">area_ha_total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muestran una cola larga hacia eventos de gran magnitud, concentrados mayormente en municipios del sur de Pará (São Félix do Xingu, Cumaru do Norte, Ourilândia do Norte, Novo Progresso) durante septiembre-octubre de 2024, coincidiendo con la temporada de incendios más severa registrada en la Amazonía (WRI, 2025).</w:t>
      </w:r>
    </w:p>
    <w:p w:rsidR="00000000" w:rsidDel="00000000" w:rsidP="00000000" w:rsidRDefault="00000000" w:rsidRPr="00000000" w14:paraId="0000010C">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3622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caso amerita revisión aparte: la alerta de mayor área (19,849.76 ha, Manaus, </w:t>
      </w:r>
      <w:r w:rsidDel="00000000" w:rsidR="00000000" w:rsidRPr="00000000">
        <w:rPr>
          <w:rFonts w:ascii="Times New Roman" w:cs="Times New Roman" w:eastAsia="Times New Roman" w:hAnsi="Times New Roman"/>
          <w:b w:val="1"/>
          <w:bCs w:val="1"/>
          <w:rtl w:val="0"/>
        </w:rPr>
        <w:t xml:space="preserve">DEGRADACAO</w:t>
      </w:r>
      <w:r w:rsidDel="00000000" w:rsidR="00000000" w:rsidRPr="00000000">
        <w:rPr>
          <w:rFonts w:ascii="Times New Roman" w:cs="Times New Roman" w:eastAsia="Times New Roman" w:hAnsi="Times New Roman"/>
          <w:rtl w:val="0"/>
        </w:rPr>
        <w:t xml:space="preserve">) duplica al segundo valor más alto y ocurre en un municipio urbano ajeno al arco de deforestación. Comparte fecha exacta (2022-10-04) y clase con la segunda alerta más grande del mismo municipio, mientras el resto de sus alertas es normal (25-52 ha) , patrón que sugiere un posible artefacto de procesamiento satelital, a resolver en Data Preparation.</w:t>
      </w:r>
    </w:p>
    <w:p w:rsidR="00000000" w:rsidDel="00000000" w:rsidP="00000000" w:rsidRDefault="00000000" w:rsidRPr="00000000" w14:paraId="0000010E">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variables de BDQueimadas y SISAM muestran outliers de intensidad asociados a la misma temporada de quemas 2024; NASA POWER presenta menor dispersión, con valores bajos de </w:t>
      </w:r>
      <w:r w:rsidDel="00000000" w:rsidR="00000000" w:rsidRPr="00000000">
        <w:rPr>
          <w:rFonts w:ascii="Times New Roman" w:cs="Times New Roman" w:eastAsia="Times New Roman" w:hAnsi="Times New Roman"/>
          <w:rtl w:val="0"/>
        </w:rPr>
        <w:t xml:space="preserve">T2M</w:t>
      </w:r>
      <w:r w:rsidDel="00000000" w:rsidR="00000000" w:rsidRPr="00000000">
        <w:rPr>
          <w:rFonts w:ascii="Times New Roman" w:cs="Times New Roman" w:eastAsia="Times New Roman" w:hAnsi="Times New Roman"/>
          <w:rtl w:val="0"/>
        </w:rPr>
        <w:t xml:space="preserve"> atribuibles a episodios de "friagem". En conjunto, los outliers identificados corresponden mayormente a eventos reales documentados externamente, no a errores de captura.</w:t>
      </w:r>
    </w:p>
    <w:p w:rsidR="00000000" w:rsidDel="00000000" w:rsidP="00000000" w:rsidRDefault="00000000" w:rsidRPr="00000000" w14:paraId="0000010F">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5748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4"/>
        <w:numPr>
          <w:ilvl w:val="3"/>
          <w:numId w:val="3"/>
        </w:numPr>
        <w:spacing w:after="200" w:before="0" w:lineRule="auto"/>
        <w:rPr>
          <w:rFonts w:ascii="Times New Roman" w:cs="Times New Roman" w:eastAsia="Times New Roman" w:hAnsi="Times New Roman"/>
          <w:b w:val="1"/>
          <w:bCs w:val="1"/>
        </w:rPr>
      </w:pPr>
      <w:bookmarkStart w:colFirst="0" w:colLast="0" w:name="_rf5q2tmbzenu" w:id="20"/>
      <w:bookmarkEnd w:id="20"/>
      <w:r w:rsidDel="00000000" w:rsidR="00000000" w:rsidRPr="00000000">
        <w:rPr>
          <w:rtl w:val="0"/>
        </w:rPr>
        <w:t xml:space="preserve">Análisis de correlaciones y patrones multivariados</w:t>
      </w:r>
      <w:r w:rsidDel="00000000" w:rsidR="00000000" w:rsidRPr="00000000">
        <w:rPr>
          <w:rtl w:val="0"/>
        </w:rPr>
      </w:r>
    </w:p>
    <w:p w:rsidR="00000000" w:rsidDel="00000000" w:rsidP="00000000" w:rsidRDefault="00000000" w:rsidRPr="00000000" w14:paraId="00000111">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transformación </w:t>
      </w:r>
      <w:r w:rsidDel="00000000" w:rsidR="00000000" w:rsidRPr="00000000">
        <w:rPr>
          <w:rFonts w:ascii="Times New Roman" w:cs="Times New Roman" w:eastAsia="Times New Roman" w:hAnsi="Times New Roman"/>
          <w:b w:val="1"/>
          <w:bCs w:val="1"/>
          <w:rtl w:val="0"/>
        </w:rPr>
        <w:t xml:space="preserve">log(x+1)</w:t>
      </w:r>
      <w:r w:rsidDel="00000000" w:rsidR="00000000" w:rsidRPr="00000000">
        <w:rPr>
          <w:rFonts w:ascii="Times New Roman" w:cs="Times New Roman" w:eastAsia="Times New Roman" w:hAnsi="Times New Roman"/>
          <w:rtl w:val="0"/>
        </w:rPr>
        <w:t xml:space="preserve"> corrige la asimetría de ambos targets, aproximándolos a una distribución log-normal manejable para el modelado. </w:t>
      </w:r>
      <w:r w:rsidDel="00000000" w:rsidR="00000000" w:rsidRPr="00000000">
        <w:rPr>
          <w:rFonts w:ascii="Times New Roman" w:cs="Times New Roman" w:eastAsia="Times New Roman" w:hAnsi="Times New Roman"/>
          <w:b w:val="1"/>
          <w:bCs w:val="1"/>
          <w:rtl w:val="0"/>
        </w:rPr>
        <w:t xml:space="preserve">riesgo_fuego_promedio_7d_previo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T2M_7d_previo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1"/>
          <w:bCs w:val="1"/>
          <w:rtl w:val="0"/>
        </w:rPr>
        <w:t xml:space="preserve">RH2M_7d_previo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muestran distribuciones bimodales, atribuibles a la alternancia entre temporada seca y húmeda.</w:t>
      </w:r>
    </w:p>
    <w:p w:rsidR="00000000" w:rsidDel="00000000" w:rsidP="00000000" w:rsidRDefault="00000000" w:rsidRPr="00000000" w14:paraId="00000112">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639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2639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731200" cy="32512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matriz de correlación de Pearson (Frente 1), </w:t>
      </w:r>
      <w:r w:rsidDel="00000000" w:rsidR="00000000" w:rsidRPr="00000000">
        <w:rPr>
          <w:rFonts w:ascii="Times New Roman" w:cs="Times New Roman" w:eastAsia="Times New Roman" w:hAnsi="Times New Roman"/>
          <w:b w:val="1"/>
          <w:bCs w:val="1"/>
          <w:rtl w:val="0"/>
        </w:rPr>
        <w:t xml:space="preserve">num_alertas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es la variable más correlacionada con </w:t>
      </w:r>
      <w:r w:rsidDel="00000000" w:rsidR="00000000" w:rsidRPr="00000000">
        <w:rPr>
          <w:rFonts w:ascii="Times New Roman" w:cs="Times New Roman" w:eastAsia="Times New Roman" w:hAnsi="Times New Roman"/>
          <w:b w:val="1"/>
          <w:bCs w:val="1"/>
          <w:rtl w:val="0"/>
        </w:rPr>
        <w:t xml:space="preserve">area_ha_total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(r=0.80). Entre las climáticas, ninguna supera r=0.20: destacan </w:t>
      </w:r>
      <w:r w:rsidDel="00000000" w:rsidR="00000000" w:rsidRPr="00000000">
        <w:rPr>
          <w:rFonts w:ascii="Times New Roman" w:cs="Times New Roman" w:eastAsia="Times New Roman" w:hAnsi="Times New Roman"/>
          <w:b w:val="1"/>
          <w:bCs w:val="1"/>
          <w:rtl w:val="0"/>
        </w:rPr>
        <w:t xml:space="preserve">num_incendios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(0.29), </w:t>
      </w:r>
      <w:r w:rsidDel="00000000" w:rsidR="00000000" w:rsidRPr="00000000">
        <w:rPr>
          <w:rFonts w:ascii="Times New Roman" w:cs="Times New Roman" w:eastAsia="Times New Roman" w:hAnsi="Times New Roman"/>
          <w:b w:val="1"/>
          <w:bCs w:val="1"/>
          <w:rtl w:val="0"/>
        </w:rPr>
        <w:t xml:space="preserve">frp_total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(0.23) y los contaminantes de SISAM (~0.16), con </w:t>
      </w:r>
      <w:r w:rsidDel="00000000" w:rsidR="00000000" w:rsidRPr="00000000">
        <w:rPr>
          <w:rFonts w:ascii="Times New Roman" w:cs="Times New Roman" w:eastAsia="Times New Roman" w:hAnsi="Times New Roman"/>
          <w:b w:val="1"/>
          <w:bCs w:val="1"/>
          <w:rtl w:val="0"/>
        </w:rPr>
        <w:t xml:space="preserve">RH2M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como única correlación negativa relevante (-0.15). Se detectó multicolinealidad severa entre las variables de SISAM (</w:t>
      </w:r>
      <w:r w:rsidDel="00000000" w:rsidR="00000000" w:rsidRPr="00000000">
        <w:rPr>
          <w:rFonts w:ascii="Times New Roman" w:cs="Times New Roman" w:eastAsia="Times New Roman" w:hAnsi="Times New Roman"/>
          <w:b w:val="1"/>
          <w:bCs w:val="1"/>
          <w:rtl w:val="0"/>
        </w:rPr>
        <w:t xml:space="preserve">pm10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pm2.5</w:t>
      </w:r>
      <w:r w:rsidDel="00000000" w:rsidR="00000000" w:rsidRPr="00000000">
        <w:rPr>
          <w:rFonts w:ascii="Times New Roman" w:cs="Times New Roman" w:eastAsia="Times New Roman" w:hAnsi="Times New Roman"/>
          <w:rtl w:val="0"/>
        </w:rPr>
        <w:t xml:space="preserve"> r=1.00, físicamente esperable al ser PM2.5 un subconjunto de PM10; </w:t>
      </w:r>
      <w:r w:rsidDel="00000000" w:rsidR="00000000" w:rsidRPr="00000000">
        <w:rPr>
          <w:rFonts w:ascii="Times New Roman" w:cs="Times New Roman" w:eastAsia="Times New Roman" w:hAnsi="Times New Roman"/>
          <w:b w:val="1"/>
          <w:bCs w:val="1"/>
          <w:rtl w:val="0"/>
        </w:rPr>
        <w:t xml:space="preserve">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no2</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1"/>
          <w:bCs w:val="1"/>
          <w:rtl w:val="0"/>
        </w:rPr>
        <w:t xml:space="preserve">so2</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entre 0.90-0.98), y entre </w:t>
      </w:r>
      <w:r w:rsidDel="00000000" w:rsidR="00000000" w:rsidRPr="00000000">
        <w:rPr>
          <w:rFonts w:ascii="Times New Roman" w:cs="Times New Roman" w:eastAsia="Times New Roman" w:hAnsi="Times New Roman"/>
          <w:b w:val="1"/>
          <w:bCs w:val="1"/>
          <w:rtl w:val="0"/>
        </w:rPr>
        <w:t xml:space="preserve">T2M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1"/>
          <w:bCs w:val="1"/>
          <w:rtl w:val="0"/>
        </w:rPr>
        <w:t xml:space="preserve">RH2M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(r=-0.77) , redundancia a considerar en la selección de variables del Hito 2.</w:t>
      </w:r>
    </w:p>
    <w:p w:rsidR="00000000" w:rsidDel="00000000" w:rsidP="00000000" w:rsidRDefault="00000000" w:rsidRPr="00000000" w14:paraId="00000114">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003800"/>
            <wp:effectExtent b="0" l="0" r="0" t="0"/>
            <wp:docPr id="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desagregar por </w:t>
      </w:r>
      <w:r w:rsidDel="00000000" w:rsidR="00000000" w:rsidRPr="00000000">
        <w:rPr>
          <w:rFonts w:ascii="Times New Roman" w:cs="Times New Roman" w:eastAsia="Times New Roman" w:hAnsi="Times New Roman"/>
          <w:b w:val="1"/>
          <w:bCs w:val="1"/>
          <w:rtl w:val="0"/>
        </w:rPr>
        <w:t xml:space="preserve">classname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MINERACAO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muestra las medianas más bajas de riesgo de fuego, PM2.5 y área (consistente con ser un proceso mecánico, no de combustión), mientras </w:t>
      </w:r>
      <w:r w:rsidDel="00000000" w:rsidR="00000000" w:rsidRPr="00000000">
        <w:rPr>
          <w:rFonts w:ascii="Times New Roman" w:cs="Times New Roman" w:eastAsia="Times New Roman" w:hAnsi="Times New Roman"/>
          <w:b w:val="1"/>
          <w:bCs w:val="1"/>
          <w:rtl w:val="0"/>
        </w:rPr>
        <w:t xml:space="preserve">CICATRIZ_DE_QUEIMADA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presenta la mediana más alta de riesgo de fuego. </w:t>
      </w:r>
      <w:r w:rsidDel="00000000" w:rsidR="00000000" w:rsidRPr="00000000">
        <w:rPr>
          <w:rFonts w:ascii="Times New Roman" w:cs="Times New Roman" w:eastAsia="Times New Roman" w:hAnsi="Times New Roman"/>
          <w:b w:val="1"/>
          <w:bCs w:val="1"/>
          <w:rtl w:val="0"/>
        </w:rPr>
        <w:t xml:space="preserve">CS_GEOMETRICO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1"/>
          <w:bCs w:val="1"/>
          <w:rtl w:val="0"/>
        </w:rPr>
        <w:t xml:space="preserve">CS_DESORDENADO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muestran áreas medianas inusualmente altas, hipótesis a explorar en Data Preparation.</w:t>
      </w:r>
    </w:p>
    <w:p w:rsidR="00000000" w:rsidDel="00000000" w:rsidP="00000000" w:rsidRDefault="00000000" w:rsidRPr="00000000" w14:paraId="00000116">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5748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cruce de </w:t>
      </w:r>
      <w:r w:rsidDel="00000000" w:rsidR="00000000" w:rsidRPr="00000000">
        <w:rPr>
          <w:rFonts w:ascii="Times New Roman" w:cs="Times New Roman" w:eastAsia="Times New Roman" w:hAnsi="Times New Roman"/>
          <w:b w:val="1"/>
          <w:bCs w:val="1"/>
          <w:rtl w:val="0"/>
        </w:rPr>
        <w:t xml:space="preserve">classname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 </w:t>
      </w:r>
      <w:r w:rsidDel="00000000" w:rsidR="00000000" w:rsidRPr="00000000">
        <w:rPr>
          <w:rFonts w:ascii="Times New Roman" w:cs="Times New Roman" w:eastAsia="Times New Roman" w:hAnsi="Times New Roman"/>
          <w:b w:val="1"/>
          <w:bCs w:val="1"/>
          <w:rtl w:val="0"/>
        </w:rPr>
        <w:t xml:space="preserve">dentro_area_protegida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confirma que </w:t>
      </w:r>
      <w:r w:rsidDel="00000000" w:rsidR="00000000" w:rsidRPr="00000000">
        <w:rPr>
          <w:rFonts w:ascii="Times New Roman" w:cs="Times New Roman" w:eastAsia="Times New Roman" w:hAnsi="Times New Roman"/>
          <w:b w:val="1"/>
          <w:bCs w:val="1"/>
          <w:rtl w:val="0"/>
        </w:rPr>
        <w:t xml:space="preserve">MINERACAO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salta de 0.65% a 9.76% de participación al entrar en área protegida, la asociación más fuerte de la tabla. Por temporada, </w:t>
      </w:r>
      <w:r w:rsidDel="00000000" w:rsidR="00000000" w:rsidRPr="00000000">
        <w:rPr>
          <w:rFonts w:ascii="Times New Roman" w:cs="Times New Roman" w:eastAsia="Times New Roman" w:hAnsi="Times New Roman"/>
          <w:b w:val="1"/>
          <w:bCs w:val="1"/>
          <w:rtl w:val="0"/>
        </w:rPr>
        <w:t xml:space="preserve">MINERACAO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1"/>
          <w:bCs w:val="1"/>
          <w:rtl w:val="0"/>
        </w:rPr>
        <w:t xml:space="preserve">DESMATAMENTO_VEG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predominan en época húmeda, mientras </w:t>
      </w:r>
      <w:r w:rsidDel="00000000" w:rsidR="00000000" w:rsidRPr="00000000">
        <w:rPr>
          <w:rFonts w:ascii="Times New Roman" w:cs="Times New Roman" w:eastAsia="Times New Roman" w:hAnsi="Times New Roman"/>
          <w:b w:val="1"/>
          <w:bCs w:val="1"/>
          <w:rtl w:val="0"/>
        </w:rPr>
        <w:t xml:space="preserve">CICATRIZ_DE_QUEIMADA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lo hace en época seca.</w:t>
      </w:r>
    </w:p>
    <w:p w:rsidR="00000000" w:rsidDel="00000000" w:rsidP="00000000" w:rsidRDefault="00000000" w:rsidRPr="00000000" w14:paraId="00000118">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41700"/>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34417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731200" cy="34417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0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Style w:val="Heading4"/>
        <w:numPr>
          <w:ilvl w:val="3"/>
          <w:numId w:val="3"/>
        </w:numPr>
        <w:spacing w:after="200" w:before="0" w:lineRule="auto"/>
        <w:rPr>
          <w:rFonts w:ascii="Times New Roman" w:cs="Times New Roman" w:eastAsia="Times New Roman" w:hAnsi="Times New Roman"/>
          <w:b w:val="1"/>
          <w:bCs w:val="1"/>
        </w:rPr>
      </w:pPr>
      <w:bookmarkStart w:colFirst="0" w:colLast="0" w:name="_7xv1woixfkha" w:id="21"/>
      <w:bookmarkEnd w:id="21"/>
      <w:r w:rsidDel="00000000" w:rsidR="00000000" w:rsidRPr="00000000">
        <w:rPr>
          <w:rtl w:val="0"/>
        </w:rPr>
        <w:t xml:space="preserve">Evolución temporal, distribución espacial y balance de clases</w:t>
      </w:r>
      <w:r w:rsidDel="00000000" w:rsidR="00000000" w:rsidRPr="00000000">
        <w:rPr>
          <w:rtl w:val="0"/>
        </w:rPr>
      </w:r>
    </w:p>
    <w:p w:rsidR="00000000" w:rsidDel="00000000" w:rsidP="00000000" w:rsidRDefault="00000000" w:rsidRPr="00000000" w14:paraId="0000011B">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serie semanal de hectáreas afectadas muestra estacionalidad recurrente (picos entre agosto y octubre) y una escalada abrupta en 2024: frente a picos de 50,000-68,000 ha/semana en 2022-2023, el pico de septiembre-octubre 2024 alcanza casi 290,000 ha, más de 4 veces el máximo anterior , corroborando con datos propios la cifra de 2024 como año récord de pérdida de bosque (WRI, 2025) y explicando el origen de la mayoría de los outliers ya identificados.</w:t>
      </w:r>
    </w:p>
    <w:p w:rsidR="00000000" w:rsidDel="00000000" w:rsidP="00000000" w:rsidRDefault="00000000" w:rsidRPr="00000000" w14:paraId="0000011C">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1930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área afectada se concentra en pocos municipios: São Félix do Xingu, Altamira y Novo Progresso (todos en Pará) acumulan más área que los 12 restantes del top 15 combinados, consistente con el "arco de deforestación" de la Amazonía brasileña.</w:t>
      </w:r>
    </w:p>
    <w:p w:rsidR="00000000" w:rsidDel="00000000" w:rsidP="00000000" w:rsidRDefault="00000000" w:rsidRPr="00000000" w14:paraId="0000011E">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799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classname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presenta desbalance marcado: </w:t>
      </w:r>
      <w:r w:rsidDel="00000000" w:rsidR="00000000" w:rsidRPr="00000000">
        <w:rPr>
          <w:rFonts w:ascii="Times New Roman" w:cs="Times New Roman" w:eastAsia="Times New Roman" w:hAnsi="Times New Roman"/>
          <w:b w:val="1"/>
          <w:bCs w:val="1"/>
          <w:rtl w:val="0"/>
        </w:rPr>
        <w:t xml:space="preserve">DESMATAMENTO_CR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1"/>
          <w:bCs w:val="1"/>
          <w:rtl w:val="0"/>
        </w:rPr>
        <w:t xml:space="preserve">CICATRIZ_DE_QUEIMADA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concentran 88.24% de las alertas, mientras </w:t>
      </w:r>
      <w:r w:rsidDel="00000000" w:rsidR="00000000" w:rsidRPr="00000000">
        <w:rPr>
          <w:rFonts w:ascii="Times New Roman" w:cs="Times New Roman" w:eastAsia="Times New Roman" w:hAnsi="Times New Roman"/>
          <w:b w:val="1"/>
          <w:bCs w:val="1"/>
          <w:rtl w:val="0"/>
        </w:rPr>
        <w:t xml:space="preserve">MINERACAO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de especial relevancia por su asociación con áreas protegidas, representa apenas 1.29%, justificando el uso de SMOTE en Data Preparation.</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623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confirma con el dataset validado el hallazgo central del proyecto: </w:t>
      </w:r>
      <w:r w:rsidDel="00000000" w:rsidR="00000000" w:rsidRPr="00000000">
        <w:rPr>
          <w:rFonts w:ascii="Times New Roman" w:cs="Times New Roman" w:eastAsia="Times New Roman" w:hAnsi="Times New Roman"/>
          <w:b w:val="1"/>
          <w:bCs w:val="1"/>
          <w:rtl w:val="0"/>
        </w:rPr>
        <w:t xml:space="preserve">MINERACAO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ocurre dentro de área protegida en el 53.19% de los casos, 7.6 veces el promedio general (7.01%), muy por encima de cualquier otra clase. Este hallazgo sustenta la mayor severidad asignada a </w:t>
      </w:r>
      <w:r w:rsidDel="00000000" w:rsidR="00000000" w:rsidRPr="00000000">
        <w:rPr>
          <w:rFonts w:ascii="Times New Roman" w:cs="Times New Roman" w:eastAsia="Times New Roman" w:hAnsi="Times New Roman"/>
          <w:b w:val="1"/>
          <w:bCs w:val="1"/>
          <w:rtl w:val="0"/>
        </w:rPr>
        <w:t xml:space="preserve">MINERACAO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en la construcción de </w:t>
      </w:r>
      <w:r w:rsidDel="00000000" w:rsidR="00000000" w:rsidRPr="00000000">
        <w:rPr>
          <w:rFonts w:ascii="Times New Roman" w:cs="Times New Roman" w:eastAsia="Times New Roman" w:hAnsi="Times New Roman"/>
          <w:b w:val="1"/>
          <w:bCs w:val="1"/>
          <w:rtl w:val="0"/>
        </w:rPr>
        <w:t xml:space="preserve">Nivel_Riesgo_Amenaza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(Data Preparation).</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49600"/>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1"/>
        <w:spacing w:before="0" w:lineRule="auto"/>
        <w:ind w:left="0" w:firstLine="0"/>
        <w:rPr/>
      </w:pPr>
      <w:bookmarkStart w:colFirst="0" w:colLast="0" w:name="_6rv7bg4zo1cc" w:id="22"/>
      <w:bookmarkEnd w:id="22"/>
      <w:r w:rsidDel="00000000" w:rsidR="00000000" w:rsidRPr="00000000">
        <w:rPr>
          <w:rtl w:val="0"/>
        </w:rPr>
      </w:r>
    </w:p>
    <w:p w:rsidR="00000000" w:rsidDel="00000000" w:rsidP="00000000" w:rsidRDefault="00000000" w:rsidRPr="00000000" w14:paraId="00000124">
      <w:pPr>
        <w:pStyle w:val="Heading1"/>
        <w:spacing w:before="0" w:lineRule="auto"/>
        <w:ind w:left="720" w:firstLine="0"/>
        <w:rPr/>
      </w:pPr>
      <w:bookmarkStart w:colFirst="0" w:colLast="0" w:name="_ep0kog5dc6l3" w:id="23"/>
      <w:bookmarkEnd w:id="23"/>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numPr>
          <w:ilvl w:val="0"/>
          <w:numId w:val="3"/>
        </w:numPr>
        <w:spacing w:before="0" w:lineRule="auto"/>
        <w:ind w:left="425.19685039370086" w:hanging="283.464566929134"/>
        <w:rPr>
          <w:rFonts w:ascii="Times New Roman" w:cs="Times New Roman" w:eastAsia="Times New Roman" w:hAnsi="Times New Roman"/>
          <w:b w:val="1"/>
          <w:bCs w:val="1"/>
        </w:rPr>
      </w:pPr>
      <w:bookmarkStart w:colFirst="0" w:colLast="0" w:name="_lxrapcl6ik16" w:id="24"/>
      <w:bookmarkEnd w:id="24"/>
      <w:r w:rsidDel="00000000" w:rsidR="00000000" w:rsidRPr="00000000">
        <w:rPr>
          <w:rtl w:val="0"/>
        </w:rPr>
        <w:t xml:space="preserve">Referencias Bibliográficas</w:t>
      </w:r>
    </w:p>
    <w:p w:rsidR="00000000" w:rsidDel="00000000" w:rsidP="00000000" w:rsidRDefault="00000000" w:rsidRPr="00000000" w14:paraId="00000126">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Castro, A. (2024, 7 de abril). </w:t>
      </w:r>
      <w:r w:rsidDel="00000000" w:rsidR="00000000" w:rsidRPr="00000000">
        <w:rPr>
          <w:rFonts w:ascii="Times New Roman" w:cs="Times New Roman" w:eastAsia="Times New Roman" w:hAnsi="Times New Roman"/>
          <w:i w:val="1"/>
          <w:iCs w:val="1"/>
          <w:rtl w:val="0"/>
        </w:rPr>
        <w:t xml:space="preserve">Pérdida de bosques peruanos crece entre retrasos del Minam y cifras paralelas</w:t>
      </w:r>
      <w:r w:rsidDel="00000000" w:rsidR="00000000" w:rsidRPr="00000000">
        <w:rPr>
          <w:rFonts w:ascii="Times New Roman" w:cs="Times New Roman" w:eastAsia="Times New Roman" w:hAnsi="Times New Roman"/>
          <w:rtl w:val="0"/>
        </w:rPr>
        <w:t xml:space="preserve">. Ojo Público. </w:t>
      </w:r>
      <w:hyperlink r:id="rId19">
        <w:r w:rsidDel="00000000" w:rsidR="00000000" w:rsidRPr="00000000">
          <w:rPr>
            <w:rFonts w:ascii="Times New Roman" w:cs="Times New Roman" w:eastAsia="Times New Roman" w:hAnsi="Times New Roman"/>
            <w:color w:val="1155cc"/>
            <w:u w:val="single"/>
            <w:rtl w:val="0"/>
          </w:rPr>
          <w:t xml:space="preserve">https://ojo-publico.com/ambiente/territorio-amazonas/perdida-bosques-crece-entre-retrasos-del-minam-y-cifras-paralelas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7">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Gatti, L. V., Basso, L. S., Miller, J. B., Gloor, M., Gatti Domingues, L., Cassol, H. L. G., Tejada, G., Aragão, L. E. O. C., Nobre, C., Peters, W., Marani, L., Arai, E., Sanches, A. H., Corrêa, S. M., Anderson, L., Von Randow, C., Correia, C. S. C., Crispim, S. P., &amp; Neves, R. A. L. (2021). Amazonia as a carbon source linked to deforestation and climate change. </w:t>
      </w:r>
      <w:r w:rsidDel="00000000" w:rsidR="00000000" w:rsidRPr="00000000">
        <w:rPr>
          <w:rFonts w:ascii="Times New Roman" w:cs="Times New Roman" w:eastAsia="Times New Roman" w:hAnsi="Times New Roman"/>
          <w:i w:val="1"/>
          <w:iCs w:val="1"/>
          <w:rtl w:val="0"/>
        </w:rPr>
        <w:t xml:space="preserve">Nature, 595</w:t>
      </w:r>
      <w:r w:rsidDel="00000000" w:rsidR="00000000" w:rsidRPr="00000000">
        <w:rPr>
          <w:rFonts w:ascii="Times New Roman" w:cs="Times New Roman" w:eastAsia="Times New Roman" w:hAnsi="Times New Roman"/>
          <w:rtl w:val="0"/>
        </w:rPr>
        <w:t xml:space="preserve">(7867), 388–393. </w:t>
      </w:r>
      <w:hyperlink r:id="rId20">
        <w:r w:rsidDel="00000000" w:rsidR="00000000" w:rsidRPr="00000000">
          <w:rPr>
            <w:rFonts w:ascii="Times New Roman" w:cs="Times New Roman" w:eastAsia="Times New Roman" w:hAnsi="Times New Roman"/>
            <w:color w:val="1155cc"/>
            <w:u w:val="single"/>
            <w:rtl w:val="0"/>
          </w:rPr>
          <w:t xml:space="preserve">https://doi.org/10.1038/s41586-021-03629-6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8">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Nacional de Pesquisas Espaciais. (s.f.-a). </w:t>
      </w:r>
      <w:r w:rsidDel="00000000" w:rsidR="00000000" w:rsidRPr="00000000">
        <w:rPr>
          <w:rFonts w:ascii="Times New Roman" w:cs="Times New Roman" w:eastAsia="Times New Roman" w:hAnsi="Times New Roman"/>
          <w:i w:val="1"/>
          <w:iCs w:val="1"/>
          <w:rtl w:val="0"/>
        </w:rPr>
        <w:t xml:space="preserve">DETER: Sistema de Detecção do Desmatamento em Tempo Real</w:t>
      </w:r>
      <w:r w:rsidDel="00000000" w:rsidR="00000000" w:rsidRPr="00000000">
        <w:rPr>
          <w:rFonts w:ascii="Times New Roman" w:cs="Times New Roman" w:eastAsia="Times New Roman" w:hAnsi="Times New Roman"/>
          <w:rtl w:val="0"/>
        </w:rPr>
        <w:t xml:space="preserve">. </w:t>
      </w:r>
      <w:hyperlink r:id="rId21">
        <w:r w:rsidDel="00000000" w:rsidR="00000000" w:rsidRPr="00000000">
          <w:rPr>
            <w:rFonts w:ascii="Times New Roman" w:cs="Times New Roman" w:eastAsia="Times New Roman" w:hAnsi="Times New Roman"/>
            <w:color w:val="1155cc"/>
            <w:u w:val="single"/>
            <w:rtl w:val="0"/>
          </w:rPr>
          <w:t xml:space="preserve">https://www.inpe.br/cra/projetos_pesquisas/deter.php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9">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Nacional de Pesquisas Espaciais. (s.f.-b). </w:t>
      </w:r>
      <w:r w:rsidDel="00000000" w:rsidR="00000000" w:rsidRPr="00000000">
        <w:rPr>
          <w:rFonts w:ascii="Times New Roman" w:cs="Times New Roman" w:eastAsia="Times New Roman" w:hAnsi="Times New Roman"/>
          <w:i w:val="1"/>
          <w:iCs w:val="1"/>
          <w:rtl w:val="0"/>
        </w:rPr>
        <w:t xml:space="preserve">BDQueimadas: Banco de dados de queimadas</w:t>
      </w:r>
      <w:r w:rsidDel="00000000" w:rsidR="00000000" w:rsidRPr="00000000">
        <w:rPr>
          <w:rFonts w:ascii="Times New Roman" w:cs="Times New Roman" w:eastAsia="Times New Roman" w:hAnsi="Times New Roman"/>
          <w:rtl w:val="0"/>
        </w:rPr>
        <w:t xml:space="preserve">. Programa Queimadas. </w:t>
      </w:r>
      <w:hyperlink r:id="rId22">
        <w:r w:rsidDel="00000000" w:rsidR="00000000" w:rsidRPr="00000000">
          <w:rPr>
            <w:rFonts w:ascii="Times New Roman" w:cs="Times New Roman" w:eastAsia="Times New Roman" w:hAnsi="Times New Roman"/>
            <w:color w:val="1155cc"/>
            <w:u w:val="single"/>
            <w:rtl w:val="0"/>
          </w:rPr>
          <w:t xml:space="preserve">https://terrabrasilis.dpi.inpe.br/queimadas/bdqueimadas/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A">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Nacional de Pesquisas Espaciais. (2026). </w:t>
      </w:r>
      <w:r w:rsidDel="00000000" w:rsidR="00000000" w:rsidRPr="00000000">
        <w:rPr>
          <w:rFonts w:ascii="Times New Roman" w:cs="Times New Roman" w:eastAsia="Times New Roman" w:hAnsi="Times New Roman"/>
          <w:i w:val="1"/>
          <w:iCs w:val="1"/>
          <w:rtl w:val="0"/>
        </w:rPr>
        <w:t xml:space="preserve">PRODES: Taxas anuais de desmatamento na Amazônia Legal</w:t>
      </w:r>
      <w:r w:rsidDel="00000000" w:rsidR="00000000" w:rsidRPr="00000000">
        <w:rPr>
          <w:rFonts w:ascii="Times New Roman" w:cs="Times New Roman" w:eastAsia="Times New Roman" w:hAnsi="Times New Roman"/>
          <w:rtl w:val="0"/>
        </w:rPr>
        <w:t xml:space="preserve"> [Conjunto de datos]. TerraBrasilis. </w:t>
      </w:r>
      <w:hyperlink r:id="rId23">
        <w:r w:rsidDel="00000000" w:rsidR="00000000" w:rsidRPr="00000000">
          <w:rPr>
            <w:rFonts w:ascii="Times New Roman" w:cs="Times New Roman" w:eastAsia="Times New Roman" w:hAnsi="Times New Roman"/>
            <w:color w:val="1155cc"/>
            <w:u w:val="single"/>
            <w:rtl w:val="0"/>
          </w:rPr>
          <w:t xml:space="preserve">https://terrabrasilis.dpi.inpe.br/app/dashboard/deforestation/biomes/legal_amazon/rates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B">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Nacional de Pesquisas Espaciais y Fundação Oswaldo Cruz. (s.f.). </w:t>
      </w:r>
      <w:r w:rsidDel="00000000" w:rsidR="00000000" w:rsidRPr="00000000">
        <w:rPr>
          <w:rFonts w:ascii="Times New Roman" w:cs="Times New Roman" w:eastAsia="Times New Roman" w:hAnsi="Times New Roman"/>
          <w:i w:val="1"/>
          <w:iCs w:val="1"/>
          <w:rtl w:val="0"/>
        </w:rPr>
        <w:t xml:space="preserve">Sistema de Informações Ambientais Integrado à Saúde (SISAM)</w:t>
      </w:r>
      <w:r w:rsidDel="00000000" w:rsidR="00000000" w:rsidRPr="00000000">
        <w:rPr>
          <w:rFonts w:ascii="Times New Roman" w:cs="Times New Roman" w:eastAsia="Times New Roman" w:hAnsi="Times New Roman"/>
          <w:rtl w:val="0"/>
        </w:rPr>
        <w:t xml:space="preserve"> [Conjunto de datos]. Base dos Dados. </w:t>
      </w:r>
      <w:hyperlink r:id="rId24">
        <w:r w:rsidDel="00000000" w:rsidR="00000000" w:rsidRPr="00000000">
          <w:rPr>
            <w:rFonts w:ascii="Times New Roman" w:cs="Times New Roman" w:eastAsia="Times New Roman" w:hAnsi="Times New Roman"/>
            <w:color w:val="1155cc"/>
            <w:u w:val="single"/>
            <w:rtl w:val="0"/>
          </w:rPr>
          <w:t xml:space="preserve">https://basedosdados.org/dataset/69d2d1a6-85f8-41cd-846d-035388572d19</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Ministerio del Ambiente. (2024). </w:t>
      </w:r>
      <w:r w:rsidDel="00000000" w:rsidR="00000000" w:rsidRPr="00000000">
        <w:rPr>
          <w:rFonts w:ascii="Times New Roman" w:cs="Times New Roman" w:eastAsia="Times New Roman" w:hAnsi="Times New Roman"/>
          <w:i w:val="1"/>
          <w:iCs w:val="1"/>
          <w:rtl w:val="0"/>
        </w:rPr>
        <w:t xml:space="preserve">Reporte de la cobertura de bosques y pérdida de bosques húmedos amazónicos 2023</w:t>
      </w:r>
      <w:r w:rsidDel="00000000" w:rsidR="00000000" w:rsidRPr="00000000">
        <w:rPr>
          <w:rFonts w:ascii="Times New Roman" w:cs="Times New Roman" w:eastAsia="Times New Roman" w:hAnsi="Times New Roman"/>
          <w:rtl w:val="0"/>
        </w:rPr>
        <w:t xml:space="preserve">. SINIA. </w:t>
      </w:r>
      <w:hyperlink r:id="rId25">
        <w:r w:rsidDel="00000000" w:rsidR="00000000" w:rsidRPr="00000000">
          <w:rPr>
            <w:rFonts w:ascii="Times New Roman" w:cs="Times New Roman" w:eastAsia="Times New Roman" w:hAnsi="Times New Roman"/>
            <w:color w:val="1155cc"/>
            <w:u w:val="single"/>
            <w:rtl w:val="0"/>
          </w:rPr>
          <w:t xml:space="preserve">https://sinia.minam.gob.pe/sites/default/files/archivos/public/docs/Reporte_cobertura%20de%20bosques%20y%20perdida_2023.pdf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D">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Aeronautics and Space Administration. (s.f.). POWER (Prediction Of Worldwide Energy Resources) [Conjunto de datos]. NASA Langley Research Center. </w:t>
      </w:r>
      <w:hyperlink r:id="rId26">
        <w:r w:rsidDel="00000000" w:rsidR="00000000" w:rsidRPr="00000000">
          <w:rPr>
            <w:rFonts w:ascii="Times New Roman" w:cs="Times New Roman" w:eastAsia="Times New Roman" w:hAnsi="Times New Roman"/>
            <w:color w:val="1155cc"/>
            <w:u w:val="single"/>
            <w:rtl w:val="0"/>
          </w:rPr>
          <w:t xml:space="preserve">https://power.larc.nasa.gov/</w:t>
        </w:r>
      </w:hyperlink>
      <w:r w:rsidDel="00000000" w:rsidR="00000000" w:rsidRPr="00000000">
        <w:rPr>
          <w:rtl w:val="0"/>
        </w:rPr>
      </w:r>
    </w:p>
    <w:p w:rsidR="00000000" w:rsidDel="00000000" w:rsidP="00000000" w:rsidRDefault="00000000" w:rsidRPr="00000000" w14:paraId="0000012E">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de las Naciones Unidas para la Alimentación y la Agricultura y Fondo para el Desarrollo de los Pueblos Indígenas de América Latina y el Caribe. (2021). </w:t>
      </w:r>
      <w:r w:rsidDel="00000000" w:rsidR="00000000" w:rsidRPr="00000000">
        <w:rPr>
          <w:rFonts w:ascii="Times New Roman" w:cs="Times New Roman" w:eastAsia="Times New Roman" w:hAnsi="Times New Roman"/>
          <w:i w:val="1"/>
          <w:iCs w:val="1"/>
          <w:rtl w:val="0"/>
        </w:rPr>
        <w:t xml:space="preserve">Los pueblos indígenas y tribales y la gobernanza de los bosques: Una oportunidad para la acción climática en América Latina y el Caribe</w:t>
      </w:r>
      <w:r w:rsidDel="00000000" w:rsidR="00000000" w:rsidRPr="00000000">
        <w:rPr>
          <w:rFonts w:ascii="Times New Roman" w:cs="Times New Roman" w:eastAsia="Times New Roman" w:hAnsi="Times New Roman"/>
          <w:rtl w:val="0"/>
        </w:rPr>
        <w:t xml:space="preserve">. FAO. </w:t>
      </w:r>
      <w:hyperlink r:id="rId27">
        <w:r w:rsidDel="00000000" w:rsidR="00000000" w:rsidRPr="00000000">
          <w:rPr>
            <w:rFonts w:ascii="Times New Roman" w:cs="Times New Roman" w:eastAsia="Times New Roman" w:hAnsi="Times New Roman"/>
            <w:color w:val="1155cc"/>
            <w:u w:val="single"/>
            <w:rtl w:val="0"/>
          </w:rPr>
          <w:t xml:space="preserve">https://www.filac.org/wp-content/uploads/2021/03/pi-gobernanza2021.pdf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F">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Amazónica de Información Socioambiental Georreferenciada. (2021, 27 de mayo). </w:t>
      </w:r>
      <w:r w:rsidDel="00000000" w:rsidR="00000000" w:rsidRPr="00000000">
        <w:rPr>
          <w:rFonts w:ascii="Times New Roman" w:cs="Times New Roman" w:eastAsia="Times New Roman" w:hAnsi="Times New Roman"/>
          <w:i w:val="1"/>
          <w:iCs w:val="1"/>
          <w:rtl w:val="0"/>
        </w:rPr>
        <w:t xml:space="preserve">Amazonía, una selva en nueve países</w:t>
      </w:r>
      <w:r w:rsidDel="00000000" w:rsidR="00000000" w:rsidRPr="00000000">
        <w:rPr>
          <w:rFonts w:ascii="Times New Roman" w:cs="Times New Roman" w:eastAsia="Times New Roman" w:hAnsi="Times New Roman"/>
          <w:rtl w:val="0"/>
        </w:rPr>
        <w:t xml:space="preserve">. </w:t>
      </w:r>
      <w:hyperlink r:id="rId28">
        <w:r w:rsidDel="00000000" w:rsidR="00000000" w:rsidRPr="00000000">
          <w:rPr>
            <w:rFonts w:ascii="Times New Roman" w:cs="Times New Roman" w:eastAsia="Times New Roman" w:hAnsi="Times New Roman"/>
            <w:color w:val="1155cc"/>
            <w:u w:val="single"/>
            <w:rtl w:val="0"/>
          </w:rPr>
          <w:t xml:space="preserve">https://www.raisg.org/en/radar/amazonia-una-selva-en-nueve-paises/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0">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Tuesta, P., y Mendoza, R. (2025, 13 de febrero). </w:t>
      </w:r>
      <w:r w:rsidDel="00000000" w:rsidR="00000000" w:rsidRPr="00000000">
        <w:rPr>
          <w:rFonts w:ascii="Times New Roman" w:cs="Times New Roman" w:eastAsia="Times New Roman" w:hAnsi="Times New Roman"/>
          <w:i w:val="1"/>
          <w:iCs w:val="1"/>
          <w:rtl w:val="0"/>
        </w:rPr>
        <w:t xml:space="preserve">Ser guardaparque en Perú: una labor de alto riesgo y con derechos precarizados</w:t>
      </w:r>
      <w:r w:rsidDel="00000000" w:rsidR="00000000" w:rsidRPr="00000000">
        <w:rPr>
          <w:rFonts w:ascii="Times New Roman" w:cs="Times New Roman" w:eastAsia="Times New Roman" w:hAnsi="Times New Roman"/>
          <w:rtl w:val="0"/>
        </w:rPr>
        <w:t xml:space="preserve">. Salud con Lupa. </w:t>
      </w:r>
      <w:hyperlink r:id="rId29">
        <w:r w:rsidDel="00000000" w:rsidR="00000000" w:rsidRPr="00000000">
          <w:rPr>
            <w:rFonts w:ascii="Times New Roman" w:cs="Times New Roman" w:eastAsia="Times New Roman" w:hAnsi="Times New Roman"/>
            <w:color w:val="1155cc"/>
            <w:u w:val="single"/>
            <w:rtl w:val="0"/>
          </w:rPr>
          <w:t xml:space="preserve">https://saludconlupa.com/medio-ambiente/ser-guardaparque-en-peru-una-labor-de-alto-riesgo-y-con-derechos-precarizados/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1">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Peruana de Ciencias Aplicadas. (2026). Trabajo Parcial/Final: 1ACC0057 Machine Learning [Documento de curso]. UPC.</w:t>
      </w:r>
    </w:p>
    <w:p w:rsidR="00000000" w:rsidDel="00000000" w:rsidP="00000000" w:rsidRDefault="00000000" w:rsidRPr="00000000" w14:paraId="00000132">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Resources Institute. (2025, 21 de mayo). </w:t>
      </w:r>
      <w:r w:rsidDel="00000000" w:rsidR="00000000" w:rsidRPr="00000000">
        <w:rPr>
          <w:rFonts w:ascii="Times New Roman" w:cs="Times New Roman" w:eastAsia="Times New Roman" w:hAnsi="Times New Roman"/>
          <w:i w:val="1"/>
          <w:iCs w:val="1"/>
          <w:rtl w:val="0"/>
        </w:rPr>
        <w:t xml:space="preserve">Global forest loss shatters records in 2024, fueled by massive fires</w:t>
      </w:r>
      <w:r w:rsidDel="00000000" w:rsidR="00000000" w:rsidRPr="00000000">
        <w:rPr>
          <w:rFonts w:ascii="Times New Roman" w:cs="Times New Roman" w:eastAsia="Times New Roman" w:hAnsi="Times New Roman"/>
          <w:rtl w:val="0"/>
        </w:rPr>
        <w:t xml:space="preserve"> [Nota de prensa].  </w:t>
      </w:r>
      <w:hyperlink r:id="rId30">
        <w:r w:rsidDel="00000000" w:rsidR="00000000" w:rsidRPr="00000000">
          <w:rPr>
            <w:rFonts w:ascii="Times New Roman" w:cs="Times New Roman" w:eastAsia="Times New Roman" w:hAnsi="Times New Roman"/>
            <w:color w:val="1155cc"/>
            <w:u w:val="single"/>
            <w:rtl w:val="0"/>
          </w:rPr>
          <w:t xml:space="preserve">https://www.wri.org/news/release-global-forest-loss-shatters-records-2024-fueled-massive-fires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3">
      <w:pPr>
        <w:spacing w:after="120" w:line="360" w:lineRule="auto"/>
        <w:ind w:left="708.6614173228347"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Style w:val="Heading1"/>
        <w:spacing w:before="0" w:lineRule="auto"/>
        <w:ind w:left="720" w:firstLine="0"/>
        <w:rPr/>
      </w:pPr>
      <w:bookmarkStart w:colFirst="0" w:colLast="0" w:name="_ezwtdlrh3bty" w:id="25"/>
      <w:bookmarkEnd w:id="25"/>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numPr>
          <w:ilvl w:val="0"/>
          <w:numId w:val="3"/>
        </w:numPr>
        <w:spacing w:before="0" w:lineRule="auto"/>
        <w:ind w:left="425.19685039370086" w:hanging="283.464566929134"/>
        <w:rPr>
          <w:rFonts w:ascii="Times New Roman" w:cs="Times New Roman" w:eastAsia="Times New Roman" w:hAnsi="Times New Roman"/>
          <w:b w:val="1"/>
          <w:bCs w:val="1"/>
        </w:rPr>
      </w:pPr>
      <w:bookmarkStart w:colFirst="0" w:colLast="0" w:name="_pa7pzrcaf6yz" w:id="26"/>
      <w:bookmarkEnd w:id="26"/>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136">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A: Repositorio de Github</w:t>
      </w:r>
    </w:p>
    <w:p w:rsidR="00000000" w:rsidDel="00000000" w:rsidP="00000000" w:rsidRDefault="00000000" w:rsidRPr="00000000" w14:paraId="00000137">
      <w:pPr>
        <w:spacing w:after="120" w:line="360" w:lineRule="auto"/>
        <w:ind w:left="708.6614173228347" w:hanging="720"/>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https://github.com/franztoledo/BIODIVERSITY_GUARD/tree/master</w:t>
        </w:r>
      </w:hyperlink>
      <w:r w:rsidDel="00000000" w:rsidR="00000000" w:rsidRPr="00000000">
        <w:rPr>
          <w:rtl w:val="0"/>
        </w:rPr>
      </w:r>
    </w:p>
    <w:p w:rsidR="00000000" w:rsidDel="00000000" w:rsidP="00000000" w:rsidRDefault="00000000" w:rsidRPr="00000000" w14:paraId="00000138">
      <w:pPr>
        <w:spacing w:after="120" w:line="360" w:lineRule="auto"/>
        <w:ind w:left="708.6614173228347"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B: Notebook en Colab con el Análisis Exploratorio de los Datos (EDA)</w:t>
      </w:r>
    </w:p>
    <w:p w:rsidR="00000000" w:rsidDel="00000000" w:rsidP="00000000" w:rsidRDefault="00000000" w:rsidRPr="00000000" w14:paraId="00000139">
      <w:pPr>
        <w:spacing w:after="120" w:line="360" w:lineRule="auto"/>
        <w:ind w:left="708.6614173228347" w:hanging="720"/>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https://colab.research.google.com/drive/1wdEm_gTCz3xZSiFNvWNs6_9JqIQDmW6s?usp=sharing</w:t>
        </w:r>
      </w:hyperlink>
      <w:r w:rsidDel="00000000" w:rsidR="00000000" w:rsidRPr="00000000">
        <w:rPr>
          <w:rtl w:val="0"/>
        </w:rPr>
      </w:r>
    </w:p>
    <w:sectPr>
      <w:head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850.3937007874017" w:hanging="28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276" w:lineRule="auto"/>
      <w:ind w:left="566.9291338582675" w:hanging="420"/>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after="120" w:before="360" w:line="276" w:lineRule="auto"/>
      <w:ind w:left="850.3937007874017" w:hanging="535.3937007874017"/>
    </w:pPr>
    <w:rPr>
      <w:rFonts w:ascii="Times New Roman" w:cs="Times New Roman" w:eastAsia="Times New Roman" w:hAnsi="Times New Roman"/>
      <w:b w:val="1"/>
      <w:bCs w:val="1"/>
    </w:rPr>
  </w:style>
  <w:style w:type="paragraph" w:styleId="Heading3">
    <w:name w:val="heading 3"/>
    <w:basedOn w:val="Normal"/>
    <w:next w:val="Normal"/>
    <w:pPr>
      <w:keepNext w:val="1"/>
      <w:keepLines w:val="1"/>
      <w:ind w:left="1275.5905511811022" w:hanging="795.5905511811022"/>
    </w:pPr>
    <w:rPr>
      <w:rFonts w:ascii="Times New Roman" w:cs="Times New Roman" w:eastAsia="Times New Roman" w:hAnsi="Times New Roman"/>
      <w:b w:val="1"/>
      <w:bCs w:val="1"/>
    </w:rPr>
  </w:style>
  <w:style w:type="paragraph" w:styleId="Heading4">
    <w:name w:val="heading 4"/>
    <w:basedOn w:val="Normal"/>
    <w:next w:val="Normal"/>
    <w:pPr>
      <w:keepNext w:val="1"/>
      <w:keepLines w:val="1"/>
      <w:ind w:left="1133.858267716535" w:hanging="473.8582677165351"/>
    </w:pPr>
    <w:rPr>
      <w:rFonts w:ascii="Times New Roman" w:cs="Times New Roman" w:eastAsia="Times New Roman" w:hAnsi="Times New Roman"/>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8/s41586-021-03629-6" TargetMode="External"/><Relationship Id="rId22" Type="http://schemas.openxmlformats.org/officeDocument/2006/relationships/hyperlink" Target="https://terrabrasilis.dpi.inpe.br/queimadas/bdqueimadas/" TargetMode="External"/><Relationship Id="rId21" Type="http://schemas.openxmlformats.org/officeDocument/2006/relationships/hyperlink" Target="https://www.inpe.br/cra/projetos_pesquisas/deter.php" TargetMode="External"/><Relationship Id="rId24" Type="http://schemas.openxmlformats.org/officeDocument/2006/relationships/hyperlink" Target="https://basedosdados.org/dataset/69d2d1a6-85f8-41cd-846d-035388572d19" TargetMode="External"/><Relationship Id="rId23" Type="http://schemas.openxmlformats.org/officeDocument/2006/relationships/hyperlink" Target="https://terrabrasilis.dpi.inpe.br/app/dashboard/deforestation/biomes/legal_amazon/ra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power.larc.nasa.gov/" TargetMode="External"/><Relationship Id="rId25" Type="http://schemas.openxmlformats.org/officeDocument/2006/relationships/hyperlink" Target="https://sinia.minam.gob.pe/sites/default/files/archivos/public/docs/Reporte_cobertura%20de%20bosques%20y%20perdida_2023.pdf" TargetMode="External"/><Relationship Id="rId28" Type="http://schemas.openxmlformats.org/officeDocument/2006/relationships/hyperlink" Target="https://www.raisg.org/en/radar/amazonia-una-selva-en-nueve-paises/" TargetMode="External"/><Relationship Id="rId27" Type="http://schemas.openxmlformats.org/officeDocument/2006/relationships/hyperlink" Target="https://www.filac.org/wp-content/uploads/2021/03/pi-gobernanza2021.pdf" TargetMode="External"/><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yperlink" Target="https://saludconlupa.com/medio-ambiente/ser-guardaparque-en-peru-una-labor-de-alto-riesgo-y-con-derechos-precarizados/" TargetMode="External"/><Relationship Id="rId7" Type="http://schemas.openxmlformats.org/officeDocument/2006/relationships/image" Target="media/image3.png"/><Relationship Id="rId8" Type="http://schemas.openxmlformats.org/officeDocument/2006/relationships/image" Target="media/image7.png"/><Relationship Id="rId31" Type="http://schemas.openxmlformats.org/officeDocument/2006/relationships/hyperlink" Target="https://github.com/franztoledo/BIODIVERSITY_GUARD/tree/master" TargetMode="External"/><Relationship Id="rId30" Type="http://schemas.openxmlformats.org/officeDocument/2006/relationships/hyperlink" Target="https://www.wri.org/news/release-global-forest-loss-shatters-records-2024-fueled-massive-fires" TargetMode="External"/><Relationship Id="rId11" Type="http://schemas.openxmlformats.org/officeDocument/2006/relationships/image" Target="media/image13.png"/><Relationship Id="rId33" Type="http://schemas.openxmlformats.org/officeDocument/2006/relationships/header" Target="header1.xml"/><Relationship Id="rId10" Type="http://schemas.openxmlformats.org/officeDocument/2006/relationships/image" Target="media/image2.png"/><Relationship Id="rId32" Type="http://schemas.openxmlformats.org/officeDocument/2006/relationships/hyperlink" Target="https://colab.research.google.com/drive/1wdEm_gTCz3xZSiFNvWNs6_9JqIQDmW6s?usp=sharing" TargetMode="External"/><Relationship Id="rId13" Type="http://schemas.openxmlformats.org/officeDocument/2006/relationships/image" Target="media/image11.png"/><Relationship Id="rId12"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1.png"/><Relationship Id="rId19" Type="http://schemas.openxmlformats.org/officeDocument/2006/relationships/hyperlink" Target="https://ojo-publico.com/ambiente/territorio-amazonas/perdida-bosques-crece-entre-retrasos-del-minam-y-cifras-paralelas" TargetMode="External"/><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