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0C773" w14:textId="2C9989A8" w:rsidR="008A2B5B" w:rsidRDefault="00B92A41" w:rsidP="008A2B5B">
      <w:pPr>
        <w:rPr>
          <w:b/>
        </w:rPr>
      </w:pPr>
      <w:r>
        <w:rPr>
          <w:b/>
        </w:rPr>
        <w:t>Stefano Caruso</w:t>
      </w:r>
      <w:r w:rsidR="008A2B5B" w:rsidRPr="002F4102">
        <w:rPr>
          <w:b/>
        </w:rPr>
        <w:t xml:space="preserve"> (</w:t>
      </w:r>
      <w:hyperlink r:id="rId7" w:history="1">
        <w:r>
          <w:rPr>
            <w:rStyle w:val="Lienhypertexte"/>
            <w:b/>
          </w:rPr>
          <w:t>stefano.caruso@inserm</w:t>
        </w:r>
        <w:r w:rsidR="008A2B5B" w:rsidRPr="002F4102">
          <w:rPr>
            <w:rStyle w:val="Lienhypertexte"/>
            <w:b/>
          </w:rPr>
          <w:t>.fr</w:t>
        </w:r>
      </w:hyperlink>
      <w:r w:rsidR="008A2B5B" w:rsidRPr="002F4102">
        <w:rPr>
          <w:b/>
        </w:rPr>
        <w:t>)</w:t>
      </w:r>
      <w:r w:rsidR="008A2B5B" w:rsidRPr="00AC0248">
        <w:rPr>
          <w:b/>
        </w:rPr>
        <w:t xml:space="preserve">  </w:t>
      </w:r>
      <w:r w:rsidR="008A2B5B" w:rsidRPr="00AC0248">
        <w:rPr>
          <w:b/>
        </w:rPr>
        <w:tab/>
      </w:r>
      <w:r>
        <w:rPr>
          <w:b/>
        </w:rPr>
        <w:tab/>
      </w:r>
      <w:r w:rsidR="008A2B5B">
        <w:rPr>
          <w:b/>
        </w:rPr>
        <w:t xml:space="preserve"> </w:t>
      </w:r>
      <w:r>
        <w:rPr>
          <w:b/>
        </w:rPr>
        <w:tab/>
      </w:r>
      <w:r>
        <w:rPr>
          <w:b/>
        </w:rPr>
        <w:tab/>
        <w:t xml:space="preserve">     5 octobre 2018</w:t>
      </w:r>
    </w:p>
    <w:p w14:paraId="348C2CA9" w14:textId="206AABB6" w:rsidR="00AC0248" w:rsidRPr="002F4102" w:rsidRDefault="00723440" w:rsidP="00723440">
      <w:pPr>
        <w:rPr>
          <w:b/>
          <w:lang w:val="en-US"/>
        </w:rPr>
      </w:pPr>
      <w:r w:rsidRPr="002F4102">
        <w:rPr>
          <w:b/>
          <w:lang w:val="en-US"/>
        </w:rPr>
        <w:t>Eric Letouzé</w:t>
      </w:r>
      <w:r w:rsidRPr="002F4102">
        <w:rPr>
          <w:b/>
          <w:lang w:val="en-US"/>
        </w:rPr>
        <w:tab/>
        <w:t>(</w:t>
      </w:r>
      <w:hyperlink r:id="rId8" w:history="1">
        <w:r w:rsidR="00AC0248" w:rsidRPr="002F4102">
          <w:rPr>
            <w:rStyle w:val="Lienhypertexte"/>
            <w:b/>
            <w:lang w:val="en-US"/>
          </w:rPr>
          <w:t>eric.letouze@inserm.fr)</w:t>
        </w:r>
      </w:hyperlink>
    </w:p>
    <w:p w14:paraId="40A0D370" w14:textId="1A4C373D" w:rsidR="00723440" w:rsidRDefault="00445A91" w:rsidP="00723440">
      <w:pPr>
        <w:rPr>
          <w:b/>
        </w:rPr>
      </w:pPr>
      <w:r w:rsidRPr="00AC0248">
        <w:rPr>
          <w:b/>
        </w:rPr>
        <w:tab/>
      </w:r>
      <w:r w:rsidRPr="00AC0248">
        <w:rPr>
          <w:b/>
        </w:rPr>
        <w:tab/>
      </w:r>
      <w:r w:rsidRPr="00AC0248">
        <w:rPr>
          <w:b/>
        </w:rPr>
        <w:tab/>
      </w:r>
      <w:r w:rsidR="00E34E6F" w:rsidRPr="00AC0248">
        <w:rPr>
          <w:b/>
        </w:rPr>
        <w:t xml:space="preserve">   </w:t>
      </w:r>
      <w:r w:rsidR="00AC0248">
        <w:rPr>
          <w:b/>
        </w:rPr>
        <w:tab/>
      </w:r>
      <w:r w:rsidR="002F4102">
        <w:rPr>
          <w:b/>
        </w:rPr>
        <w:tab/>
      </w:r>
      <w:r w:rsidR="002F4102">
        <w:rPr>
          <w:b/>
        </w:rPr>
        <w:tab/>
      </w:r>
      <w:r w:rsidR="002F4102">
        <w:rPr>
          <w:b/>
        </w:rPr>
        <w:tab/>
      </w:r>
      <w:r w:rsidR="002F4102">
        <w:rPr>
          <w:b/>
        </w:rPr>
        <w:tab/>
      </w:r>
      <w:r w:rsidR="002F4102">
        <w:rPr>
          <w:b/>
        </w:rPr>
        <w:tab/>
      </w:r>
      <w:r w:rsidR="002F4102">
        <w:rPr>
          <w:b/>
        </w:rPr>
        <w:tab/>
      </w:r>
    </w:p>
    <w:p w14:paraId="63FA05AC" w14:textId="040583A0" w:rsidR="00723440" w:rsidRPr="00723440" w:rsidRDefault="00723440" w:rsidP="00723440">
      <w:r w:rsidRPr="00723440">
        <w:t xml:space="preserve">M2 BI, Module approches </w:t>
      </w:r>
      <w:proofErr w:type="spellStart"/>
      <w:r w:rsidRPr="00723440">
        <w:t>méthodologiques</w:t>
      </w:r>
      <w:proofErr w:type="spellEnd"/>
      <w:r w:rsidRPr="00723440">
        <w:t xml:space="preserve"> en bioinformatique</w:t>
      </w:r>
    </w:p>
    <w:p w14:paraId="74DC4D58" w14:textId="77777777" w:rsidR="00723440" w:rsidRDefault="00723440" w:rsidP="0017774D">
      <w:pPr>
        <w:jc w:val="center"/>
        <w:rPr>
          <w:b/>
        </w:rPr>
      </w:pPr>
    </w:p>
    <w:p w14:paraId="128BAD17" w14:textId="6CDB79FA" w:rsidR="004D23C1" w:rsidRPr="0017774D" w:rsidRDefault="006B7BE3" w:rsidP="0017774D">
      <w:pPr>
        <w:jc w:val="center"/>
        <w:rPr>
          <w:b/>
        </w:rPr>
      </w:pPr>
      <w:r>
        <w:rPr>
          <w:b/>
        </w:rPr>
        <w:t>TP : Analyse génomique intégrée des adénomes hépatocellulaires</w:t>
      </w:r>
    </w:p>
    <w:p w14:paraId="002717EB" w14:textId="77777777" w:rsidR="00A12CB3" w:rsidRDefault="00A12CB3" w:rsidP="00A12CB3">
      <w:pPr>
        <w:jc w:val="both"/>
      </w:pPr>
    </w:p>
    <w:p w14:paraId="135BD960" w14:textId="74DBDA24" w:rsidR="006B1341" w:rsidRDefault="006B7BE3" w:rsidP="00A12CB3">
      <w:pPr>
        <w:jc w:val="both"/>
      </w:pPr>
      <w:r>
        <w:t>Les adénomes hépatocellulaires (AHC) sont des tumeurs rares du foie, généralement bénignes mais qui peuvent progresser en carcinomes hépatocellulaires malins. L’objectif de ce TP est d’utiliser différents types de données génomiques (</w:t>
      </w:r>
      <w:proofErr w:type="spellStart"/>
      <w:r>
        <w:t>transcriptome</w:t>
      </w:r>
      <w:proofErr w:type="spellEnd"/>
      <w:r>
        <w:t xml:space="preserve">, séquençage </w:t>
      </w:r>
      <w:proofErr w:type="spellStart"/>
      <w:r>
        <w:t>exome</w:t>
      </w:r>
      <w:proofErr w:type="spellEnd"/>
      <w:r>
        <w:t>) pour identifier des groupes moléculaires homogènes de ces tumeurs et les mutations génétiques causales.</w:t>
      </w:r>
    </w:p>
    <w:p w14:paraId="27493183" w14:textId="77777777" w:rsidR="006B1341" w:rsidRDefault="006B1341" w:rsidP="00A12CB3">
      <w:pPr>
        <w:jc w:val="both"/>
      </w:pPr>
    </w:p>
    <w:p w14:paraId="78D43F3C" w14:textId="6BD0EA0B" w:rsidR="00A12CB3" w:rsidRDefault="006B7BE3" w:rsidP="00A12CB3">
      <w:pPr>
        <w:jc w:val="both"/>
      </w:pPr>
      <w:r>
        <w:t>Vous disposez pour ce TP de :</w:t>
      </w:r>
    </w:p>
    <w:p w14:paraId="48AF95C4" w14:textId="634C3862" w:rsidR="006B7BE3" w:rsidRDefault="006B7BE3" w:rsidP="00A12CB3">
      <w:pPr>
        <w:jc w:val="both"/>
      </w:pPr>
      <w:r>
        <w:t xml:space="preserve">- données de puce expression pour </w:t>
      </w:r>
      <w:r w:rsidR="00AD5542">
        <w:t>31</w:t>
      </w:r>
      <w:r>
        <w:t xml:space="preserve"> </w:t>
      </w:r>
      <w:r w:rsidR="00874F8D">
        <w:t>AHC et 3 échantillons de foie normal</w:t>
      </w:r>
    </w:p>
    <w:p w14:paraId="45FDB49B" w14:textId="1A6C7C95" w:rsidR="006B7BE3" w:rsidRDefault="006B7BE3" w:rsidP="00A12CB3">
      <w:pPr>
        <w:jc w:val="both"/>
      </w:pPr>
      <w:r>
        <w:t xml:space="preserve">- tables des mutations somatiques identifiées par séquençage </w:t>
      </w:r>
      <w:proofErr w:type="spellStart"/>
      <w:r>
        <w:t>exome</w:t>
      </w:r>
      <w:proofErr w:type="spellEnd"/>
      <w:r>
        <w:t xml:space="preserve"> dans </w:t>
      </w:r>
      <w:r w:rsidR="00A50968">
        <w:t>40</w:t>
      </w:r>
      <w:r w:rsidR="00957892">
        <w:t xml:space="preserve"> AHC</w:t>
      </w:r>
    </w:p>
    <w:p w14:paraId="6186AC9A" w14:textId="4A43F933" w:rsidR="006B7BE3" w:rsidRDefault="006B7BE3" w:rsidP="00A12CB3">
      <w:pPr>
        <w:jc w:val="both"/>
      </w:pPr>
      <w:r>
        <w:t xml:space="preserve">- annotations cliniques </w:t>
      </w:r>
      <w:r w:rsidR="00A50968">
        <w:t xml:space="preserve">pour </w:t>
      </w:r>
      <w:r w:rsidR="00110415">
        <w:t>65</w:t>
      </w:r>
      <w:r w:rsidR="00957892">
        <w:t xml:space="preserve"> </w:t>
      </w:r>
      <w:r w:rsidR="00110415">
        <w:t xml:space="preserve">échantillons </w:t>
      </w:r>
      <w:r w:rsidR="00A50968">
        <w:t xml:space="preserve">analysés sur puce expression </w:t>
      </w:r>
      <w:r w:rsidR="00DD39AC">
        <w:t>et/</w:t>
      </w:r>
      <w:r w:rsidR="00110415">
        <w:t xml:space="preserve">ou par séquençage </w:t>
      </w:r>
      <w:proofErr w:type="spellStart"/>
      <w:r w:rsidR="00110415">
        <w:t>exome</w:t>
      </w:r>
      <w:proofErr w:type="spellEnd"/>
      <w:r>
        <w:t>.</w:t>
      </w:r>
    </w:p>
    <w:p w14:paraId="23C54BAA" w14:textId="77777777" w:rsidR="006B7BE3" w:rsidRDefault="006B7BE3" w:rsidP="00A12CB3">
      <w:pPr>
        <w:jc w:val="both"/>
      </w:pPr>
    </w:p>
    <w:p w14:paraId="018ADE61" w14:textId="4F3716EC" w:rsidR="00A12CB3" w:rsidRDefault="00A50968" w:rsidP="00A12CB3">
      <w:pPr>
        <w:jc w:val="both"/>
      </w:pPr>
      <w:r>
        <w:t>L</w:t>
      </w:r>
      <w:r w:rsidR="006B7BE3">
        <w:t xml:space="preserve">a première partie du TP sera consacrée à l’identification de groupes moléculaires homogènes d’après les profils </w:t>
      </w:r>
      <w:proofErr w:type="spellStart"/>
      <w:r w:rsidR="00957892">
        <w:t>transcriptomiques</w:t>
      </w:r>
      <w:proofErr w:type="spellEnd"/>
      <w:r w:rsidR="00957892">
        <w:t xml:space="preserve"> des tumeurs</w:t>
      </w:r>
      <w:r w:rsidR="006B7BE3">
        <w:t xml:space="preserve"> via diverses approches de classification non supervisée. La 2</w:t>
      </w:r>
      <w:r w:rsidR="006B7BE3" w:rsidRPr="006B7BE3">
        <w:rPr>
          <w:vertAlign w:val="superscript"/>
        </w:rPr>
        <w:t>ème</w:t>
      </w:r>
      <w:r w:rsidR="006B7BE3">
        <w:t xml:space="preserve"> partie du TP sera consacrée à l’identification des gènes « drivers » de chaque groupe à l’aide des données </w:t>
      </w:r>
      <w:proofErr w:type="spellStart"/>
      <w:r w:rsidR="006B7BE3">
        <w:t>exome</w:t>
      </w:r>
      <w:proofErr w:type="spellEnd"/>
      <w:r w:rsidR="006B7BE3">
        <w:t>.</w:t>
      </w:r>
      <w:r w:rsidR="004D0290">
        <w:t xml:space="preserve"> Finalement, nous reviendrons aux </w:t>
      </w:r>
      <w:r w:rsidR="00DB1038">
        <w:t>données</w:t>
      </w:r>
      <w:r w:rsidR="004D0290">
        <w:t xml:space="preserve"> d’expression pour identifier les gènes et </w:t>
      </w:r>
      <w:proofErr w:type="spellStart"/>
      <w:r w:rsidR="004D0290">
        <w:t>pathways</w:t>
      </w:r>
      <w:proofErr w:type="spellEnd"/>
      <w:r w:rsidR="004D0290">
        <w:t xml:space="preserve"> dérégulés au sein </w:t>
      </w:r>
      <w:r w:rsidR="004C6123">
        <w:t>d’un groupe moléculaire</w:t>
      </w:r>
      <w:r w:rsidR="004D0290">
        <w:t>.</w:t>
      </w:r>
    </w:p>
    <w:p w14:paraId="67C4AFC6" w14:textId="77777777" w:rsidR="00A34536" w:rsidRDefault="00A34536" w:rsidP="00A12CB3">
      <w:pPr>
        <w:jc w:val="both"/>
      </w:pPr>
    </w:p>
    <w:p w14:paraId="43835789" w14:textId="4274B495" w:rsidR="00F06E49" w:rsidRDefault="004C6123" w:rsidP="00A12CB3">
      <w:pPr>
        <w:jc w:val="both"/>
      </w:pPr>
      <w:r>
        <w:t xml:space="preserve">Ce TP nécessite la librairie R </w:t>
      </w:r>
      <w:proofErr w:type="spellStart"/>
      <w:r>
        <w:rPr>
          <w:i/>
        </w:rPr>
        <w:t>ConsensusClusterPlus</w:t>
      </w:r>
      <w:proofErr w:type="spellEnd"/>
      <w:r>
        <w:t xml:space="preserve">. Si ce n’est pas déjà fait, installez cette librairie avec la fonction </w:t>
      </w:r>
      <w:proofErr w:type="spellStart"/>
      <w:proofErr w:type="gramStart"/>
      <w:r w:rsidRPr="004C6123">
        <w:rPr>
          <w:i/>
        </w:rPr>
        <w:t>install.packages</w:t>
      </w:r>
      <w:proofErr w:type="spellEnd"/>
      <w:r w:rsidRPr="004C6123">
        <w:rPr>
          <w:i/>
        </w:rPr>
        <w:t>(</w:t>
      </w:r>
      <w:proofErr w:type="gramEnd"/>
      <w:r w:rsidRPr="004C6123">
        <w:rPr>
          <w:i/>
        </w:rPr>
        <w:t>)</w:t>
      </w:r>
      <w:r>
        <w:t>.</w:t>
      </w:r>
    </w:p>
    <w:p w14:paraId="124098CA" w14:textId="77777777" w:rsidR="008A074A" w:rsidRDefault="008A074A" w:rsidP="00A12CB3">
      <w:pPr>
        <w:jc w:val="both"/>
      </w:pPr>
    </w:p>
    <w:p w14:paraId="1B1EF5F8" w14:textId="77777777" w:rsidR="00363D2D" w:rsidRDefault="00363D2D" w:rsidP="00A12CB3">
      <w:pPr>
        <w:jc w:val="both"/>
      </w:pPr>
    </w:p>
    <w:p w14:paraId="76CD3715" w14:textId="04B01339" w:rsidR="00A12CB3" w:rsidRPr="0022648F" w:rsidRDefault="00A12CB3" w:rsidP="00A12CB3">
      <w:pPr>
        <w:jc w:val="both"/>
        <w:rPr>
          <w:b/>
        </w:rPr>
      </w:pPr>
      <w:r w:rsidRPr="0022648F">
        <w:rPr>
          <w:b/>
        </w:rPr>
        <w:t xml:space="preserve">1) </w:t>
      </w:r>
      <w:r w:rsidR="006B7BE3">
        <w:rPr>
          <w:b/>
        </w:rPr>
        <w:t>Classification non supervisée des AHC</w:t>
      </w:r>
      <w:r w:rsidR="00957892">
        <w:rPr>
          <w:b/>
        </w:rPr>
        <w:t xml:space="preserve"> sur la base du </w:t>
      </w:r>
      <w:proofErr w:type="spellStart"/>
      <w:r w:rsidR="00957892">
        <w:rPr>
          <w:b/>
        </w:rPr>
        <w:t>transcriptome</w:t>
      </w:r>
      <w:proofErr w:type="spellEnd"/>
    </w:p>
    <w:p w14:paraId="438F4C43" w14:textId="6FB86B10" w:rsidR="006B7BE3" w:rsidRDefault="00581E2B" w:rsidP="00A12CB3">
      <w:pPr>
        <w:jc w:val="both"/>
      </w:pPr>
      <w:r>
        <w:t>1. Chargez l</w:t>
      </w:r>
      <w:r w:rsidR="00957892">
        <w:t>e fichier « </w:t>
      </w:r>
      <w:r w:rsidR="00AD2436">
        <w:t>expression_matrix_31</w:t>
      </w:r>
      <w:r w:rsidR="00DD39AC" w:rsidRPr="00DD39AC">
        <w:t>T_3N_samples.RData</w:t>
      </w:r>
      <w:r w:rsidR="00957892">
        <w:t> »</w:t>
      </w:r>
      <w:r>
        <w:t>, qui</w:t>
      </w:r>
      <w:r w:rsidR="00957892">
        <w:t xml:space="preserve"> contient les données d’expression (puce </w:t>
      </w:r>
      <w:proofErr w:type="spellStart"/>
      <w:r w:rsidR="00957892">
        <w:t>Affymetrix</w:t>
      </w:r>
      <w:proofErr w:type="spellEnd"/>
      <w:r w:rsidR="00957892">
        <w:t xml:space="preserve"> U133Plus2.0) de </w:t>
      </w:r>
      <w:r w:rsidR="00F11EE6">
        <w:t>31</w:t>
      </w:r>
      <w:r w:rsidR="00957892">
        <w:t xml:space="preserve"> AHC</w:t>
      </w:r>
      <w:r w:rsidR="00DD39AC">
        <w:t xml:space="preserve"> et 3 échantillons de foie normal</w:t>
      </w:r>
      <w:r w:rsidR="0098681C">
        <w:t>.</w:t>
      </w:r>
      <w:r w:rsidR="00014D58">
        <w:t xml:space="preserve"> Vérifiez la taille de la matrice -&gt; combien de sondes la puce utilisée contient-elle ?</w:t>
      </w:r>
    </w:p>
    <w:p w14:paraId="386B6EBD" w14:textId="5A18B8AA" w:rsidR="00957892" w:rsidRPr="00581E2B" w:rsidRDefault="00581E2B" w:rsidP="00A12CB3">
      <w:pPr>
        <w:jc w:val="both"/>
        <w:rPr>
          <w:i/>
        </w:rPr>
      </w:pPr>
      <w:proofErr w:type="spellStart"/>
      <w:proofErr w:type="gramStart"/>
      <w:r>
        <w:rPr>
          <w:i/>
        </w:rPr>
        <w:t>load</w:t>
      </w:r>
      <w:proofErr w:type="spellEnd"/>
      <w:r>
        <w:rPr>
          <w:i/>
        </w:rPr>
        <w:t>(</w:t>
      </w:r>
      <w:proofErr w:type="gramEnd"/>
      <w:r>
        <w:rPr>
          <w:i/>
        </w:rPr>
        <w:t>)</w:t>
      </w:r>
      <w:r w:rsidR="00014D58">
        <w:rPr>
          <w:i/>
        </w:rPr>
        <w:t xml:space="preserve">, </w:t>
      </w:r>
      <w:proofErr w:type="spellStart"/>
      <w:r w:rsidR="00014D58">
        <w:rPr>
          <w:i/>
        </w:rPr>
        <w:t>dim</w:t>
      </w:r>
      <w:proofErr w:type="spellEnd"/>
      <w:r w:rsidR="00014D58">
        <w:rPr>
          <w:i/>
        </w:rPr>
        <w:t>()</w:t>
      </w:r>
    </w:p>
    <w:p w14:paraId="08AAC59E" w14:textId="77777777" w:rsidR="00581E2B" w:rsidRDefault="00581E2B" w:rsidP="00A12CB3">
      <w:pPr>
        <w:jc w:val="both"/>
      </w:pPr>
    </w:p>
    <w:p w14:paraId="43660318" w14:textId="67BBE23D" w:rsidR="00957892" w:rsidRPr="002E7F3C" w:rsidRDefault="00957892" w:rsidP="00A12CB3">
      <w:pPr>
        <w:jc w:val="both"/>
      </w:pPr>
      <w:r>
        <w:t xml:space="preserve">2. </w:t>
      </w:r>
      <w:r w:rsidR="002E7F3C">
        <w:t xml:space="preserve">Sélectionnez les 500 sondes les plus variables dans le jeu de données, sur la base de l’écart-type. </w:t>
      </w:r>
    </w:p>
    <w:p w14:paraId="71CEBB38" w14:textId="396E75E2" w:rsidR="002E7F3C" w:rsidRPr="002E7F3C" w:rsidRDefault="002E7F3C" w:rsidP="00A12CB3">
      <w:pPr>
        <w:jc w:val="both"/>
        <w:rPr>
          <w:i/>
        </w:rPr>
      </w:pPr>
      <w:proofErr w:type="spellStart"/>
      <w:proofErr w:type="gramStart"/>
      <w:r>
        <w:rPr>
          <w:i/>
        </w:rPr>
        <w:t>apply</w:t>
      </w:r>
      <w:proofErr w:type="spellEnd"/>
      <w:r>
        <w:rPr>
          <w:i/>
        </w:rPr>
        <w:t>(</w:t>
      </w:r>
      <w:proofErr w:type="gramEnd"/>
      <w:r>
        <w:rPr>
          <w:i/>
        </w:rPr>
        <w:t xml:space="preserve">), </w:t>
      </w:r>
      <w:proofErr w:type="spellStart"/>
      <w:r>
        <w:rPr>
          <w:i/>
        </w:rPr>
        <w:t>sd</w:t>
      </w:r>
      <w:proofErr w:type="spellEnd"/>
      <w:r>
        <w:rPr>
          <w:i/>
        </w:rPr>
        <w:t xml:space="preserve">(), sort(), </w:t>
      </w:r>
      <w:proofErr w:type="spellStart"/>
      <w:r>
        <w:rPr>
          <w:i/>
        </w:rPr>
        <w:t>tail</w:t>
      </w:r>
      <w:proofErr w:type="spellEnd"/>
      <w:r>
        <w:rPr>
          <w:i/>
        </w:rPr>
        <w:t>()</w:t>
      </w:r>
    </w:p>
    <w:p w14:paraId="4A850C10" w14:textId="77777777" w:rsidR="00957892" w:rsidRDefault="00957892" w:rsidP="00A12CB3">
      <w:pPr>
        <w:jc w:val="both"/>
      </w:pPr>
    </w:p>
    <w:p w14:paraId="2DE336CC" w14:textId="38103463" w:rsidR="002E7F3C" w:rsidRPr="002E7F3C" w:rsidRDefault="002E7F3C" w:rsidP="002E7F3C">
      <w:pPr>
        <w:jc w:val="both"/>
      </w:pPr>
      <w:r>
        <w:t xml:space="preserve">3. Préparez une table </w:t>
      </w:r>
      <w:r>
        <w:rPr>
          <w:i/>
        </w:rPr>
        <w:t>mat</w:t>
      </w:r>
      <w:r>
        <w:t xml:space="preserve"> contenant les données d’expression réduites aux 500 sondes les plus variantes. Vérifiez les dimensions de cette table. Il faut maintenant centrer les données, c’est à dire retirer à chaque ligne la valeur moyenne d’expression de la sonde. L’objectif de cette étape est de « casser » les corrélations naturelles dues aux différences de gamme d’expression des gènes, pour mieux voir les variations </w:t>
      </w:r>
      <w:r w:rsidR="004C6123">
        <w:t>fines inter-échantillons</w:t>
      </w:r>
      <w:r>
        <w:t>.</w:t>
      </w:r>
    </w:p>
    <w:p w14:paraId="5DAD2994" w14:textId="69C8CE62" w:rsidR="002E7F3C" w:rsidRPr="002E7F3C" w:rsidRDefault="002E7F3C" w:rsidP="00A12CB3">
      <w:pPr>
        <w:jc w:val="both"/>
        <w:rPr>
          <w:i/>
        </w:rPr>
      </w:pPr>
      <w:proofErr w:type="spellStart"/>
      <w:proofErr w:type="gramStart"/>
      <w:r>
        <w:rPr>
          <w:i/>
        </w:rPr>
        <w:t>apply</w:t>
      </w:r>
      <w:proofErr w:type="spellEnd"/>
      <w:r>
        <w:rPr>
          <w:i/>
        </w:rPr>
        <w:t>(</w:t>
      </w:r>
      <w:proofErr w:type="gramEnd"/>
      <w:r>
        <w:rPr>
          <w:i/>
        </w:rPr>
        <w:t xml:space="preserve">), </w:t>
      </w:r>
      <w:proofErr w:type="spellStart"/>
      <w:r>
        <w:rPr>
          <w:i/>
        </w:rPr>
        <w:t>mean</w:t>
      </w:r>
      <w:proofErr w:type="spellEnd"/>
      <w:r>
        <w:rPr>
          <w:i/>
        </w:rPr>
        <w:t>()</w:t>
      </w:r>
    </w:p>
    <w:p w14:paraId="6D2CAD8F" w14:textId="77777777" w:rsidR="00957892" w:rsidRDefault="00957892" w:rsidP="00A12CB3">
      <w:pPr>
        <w:jc w:val="both"/>
      </w:pPr>
    </w:p>
    <w:p w14:paraId="57A27FA9" w14:textId="6FCD082E" w:rsidR="002E7F3C" w:rsidRDefault="002E7F3C" w:rsidP="00A12CB3">
      <w:pPr>
        <w:jc w:val="both"/>
      </w:pPr>
      <w:r>
        <w:lastRenderedPageBreak/>
        <w:t xml:space="preserve">4. Réalisez un </w:t>
      </w:r>
      <w:proofErr w:type="spellStart"/>
      <w:r>
        <w:t>clustering</w:t>
      </w:r>
      <w:proofErr w:type="spellEnd"/>
      <w:r>
        <w:t xml:space="preserve"> hiérarchique des échantillons. Vous pouvez tester différentes distances et méthodes de </w:t>
      </w:r>
      <w:proofErr w:type="spellStart"/>
      <w:r>
        <w:t>clustering</w:t>
      </w:r>
      <w:proofErr w:type="spellEnd"/>
      <w:r>
        <w:t xml:space="preserve">. Combien de groupes d’AHC définiriez-vous en se basant sur ce </w:t>
      </w:r>
      <w:proofErr w:type="spellStart"/>
      <w:r>
        <w:t>clustering</w:t>
      </w:r>
      <w:proofErr w:type="spellEnd"/>
      <w:r>
        <w:t> ?</w:t>
      </w:r>
    </w:p>
    <w:p w14:paraId="27BFC772" w14:textId="4B1D8B11" w:rsidR="002E7F3C" w:rsidRDefault="002E7F3C" w:rsidP="00A12CB3">
      <w:pPr>
        <w:jc w:val="both"/>
        <w:rPr>
          <w:i/>
        </w:rPr>
      </w:pPr>
      <w:proofErr w:type="spellStart"/>
      <w:proofErr w:type="gramStart"/>
      <w:r>
        <w:rPr>
          <w:i/>
        </w:rPr>
        <w:t>dist</w:t>
      </w:r>
      <w:proofErr w:type="spellEnd"/>
      <w:r>
        <w:rPr>
          <w:i/>
        </w:rPr>
        <w:t>(</w:t>
      </w:r>
      <w:proofErr w:type="gramEnd"/>
      <w:r>
        <w:rPr>
          <w:i/>
        </w:rPr>
        <w:t xml:space="preserve">), </w:t>
      </w:r>
      <w:proofErr w:type="spellStart"/>
      <w:r>
        <w:rPr>
          <w:i/>
        </w:rPr>
        <w:t>hclust</w:t>
      </w:r>
      <w:proofErr w:type="spellEnd"/>
      <w:r>
        <w:rPr>
          <w:i/>
        </w:rPr>
        <w:t>(), plot()</w:t>
      </w:r>
    </w:p>
    <w:p w14:paraId="283CC053" w14:textId="77C7E809" w:rsidR="002E7F3C" w:rsidRPr="002E7F3C" w:rsidRDefault="002E7F3C" w:rsidP="00A12CB3">
      <w:pPr>
        <w:jc w:val="both"/>
        <w:rPr>
          <w:i/>
        </w:rPr>
      </w:pPr>
      <w:proofErr w:type="gramStart"/>
      <w:r>
        <w:rPr>
          <w:i/>
        </w:rPr>
        <w:t>distance</w:t>
      </w:r>
      <w:proofErr w:type="gramEnd"/>
      <w:r>
        <w:rPr>
          <w:i/>
        </w:rPr>
        <w:t xml:space="preserve"> conseillée : « </w:t>
      </w:r>
      <w:proofErr w:type="spellStart"/>
      <w:r>
        <w:rPr>
          <w:i/>
        </w:rPr>
        <w:t>euclidean</w:t>
      </w:r>
      <w:proofErr w:type="spellEnd"/>
      <w:r>
        <w:rPr>
          <w:i/>
        </w:rPr>
        <w:t xml:space="preserve"> » ; méthode de </w:t>
      </w:r>
      <w:proofErr w:type="spellStart"/>
      <w:r>
        <w:rPr>
          <w:i/>
        </w:rPr>
        <w:t>clustering</w:t>
      </w:r>
      <w:proofErr w:type="spellEnd"/>
      <w:r>
        <w:rPr>
          <w:i/>
        </w:rPr>
        <w:t xml:space="preserve"> conseillée : « </w:t>
      </w:r>
      <w:proofErr w:type="spellStart"/>
      <w:r>
        <w:rPr>
          <w:i/>
        </w:rPr>
        <w:t>ward.D</w:t>
      </w:r>
      <w:proofErr w:type="spellEnd"/>
      <w:r>
        <w:rPr>
          <w:i/>
        </w:rPr>
        <w:t> »</w:t>
      </w:r>
    </w:p>
    <w:p w14:paraId="03532846" w14:textId="77777777" w:rsidR="002E7F3C" w:rsidRDefault="002E7F3C" w:rsidP="00A12CB3">
      <w:pPr>
        <w:jc w:val="both"/>
      </w:pPr>
    </w:p>
    <w:p w14:paraId="476CF74C" w14:textId="38AAFE71" w:rsidR="002E7F3C" w:rsidRPr="00FB70EB" w:rsidRDefault="002E7F3C" w:rsidP="00A12CB3">
      <w:pPr>
        <w:jc w:val="both"/>
      </w:pPr>
      <w:r>
        <w:t xml:space="preserve">5. Pour évaluer la stabilité des groupes et définir la meilleure classification, nous allons maintenant réaliser un </w:t>
      </w:r>
      <w:proofErr w:type="spellStart"/>
      <w:r>
        <w:t>clustering</w:t>
      </w:r>
      <w:proofErr w:type="spellEnd"/>
      <w:r>
        <w:t xml:space="preserve"> consensus. Chargez la librairie </w:t>
      </w:r>
      <w:proofErr w:type="spellStart"/>
      <w:r>
        <w:rPr>
          <w:i/>
        </w:rPr>
        <w:t>ConsensusClusterPlus</w:t>
      </w:r>
      <w:proofErr w:type="spellEnd"/>
      <w:r>
        <w:t xml:space="preserve"> et générez les classifications consensus (</w:t>
      </w:r>
      <w:proofErr w:type="spellStart"/>
      <w:r w:rsidRPr="00995D94">
        <w:rPr>
          <w:i/>
        </w:rPr>
        <w:t>clusterAlg</w:t>
      </w:r>
      <w:proofErr w:type="spellEnd"/>
      <w:r w:rsidRPr="00995D94">
        <w:rPr>
          <w:i/>
        </w:rPr>
        <w:t>="</w:t>
      </w:r>
      <w:proofErr w:type="spellStart"/>
      <w:r w:rsidRPr="00995D94">
        <w:rPr>
          <w:i/>
        </w:rPr>
        <w:t>hc</w:t>
      </w:r>
      <w:proofErr w:type="spellEnd"/>
      <w:r w:rsidRPr="00995D94">
        <w:rPr>
          <w:i/>
        </w:rPr>
        <w:t>",</w:t>
      </w:r>
      <w:r w:rsidR="00995D94" w:rsidRPr="00995D94">
        <w:rPr>
          <w:i/>
        </w:rPr>
        <w:t xml:space="preserve"> </w:t>
      </w:r>
      <w:r w:rsidRPr="00995D94">
        <w:rPr>
          <w:i/>
        </w:rPr>
        <w:t>distance="</w:t>
      </w:r>
      <w:proofErr w:type="spellStart"/>
      <w:r w:rsidRPr="00995D94">
        <w:rPr>
          <w:i/>
        </w:rPr>
        <w:t>euclidean</w:t>
      </w:r>
      <w:proofErr w:type="spellEnd"/>
      <w:r w:rsidRPr="00995D94">
        <w:rPr>
          <w:i/>
        </w:rPr>
        <w:t>",</w:t>
      </w:r>
      <w:r w:rsidR="00995D94" w:rsidRPr="00995D94">
        <w:rPr>
          <w:i/>
        </w:rPr>
        <w:t xml:space="preserve"> </w:t>
      </w:r>
      <w:proofErr w:type="spellStart"/>
      <w:r w:rsidRPr="00995D94">
        <w:rPr>
          <w:i/>
        </w:rPr>
        <w:t>innerLinkage</w:t>
      </w:r>
      <w:proofErr w:type="spellEnd"/>
      <w:r w:rsidRPr="00995D94">
        <w:rPr>
          <w:i/>
        </w:rPr>
        <w:t>="</w:t>
      </w:r>
      <w:proofErr w:type="spellStart"/>
      <w:r w:rsidRPr="00995D94">
        <w:rPr>
          <w:i/>
        </w:rPr>
        <w:t>ward.D</w:t>
      </w:r>
      <w:proofErr w:type="spellEnd"/>
      <w:r w:rsidRPr="00995D94">
        <w:rPr>
          <w:i/>
        </w:rPr>
        <w:t>"</w:t>
      </w:r>
      <w:r w:rsidR="00995D94" w:rsidRPr="00995D94">
        <w:rPr>
          <w:i/>
        </w:rPr>
        <w:t xml:space="preserve">, </w:t>
      </w:r>
      <w:proofErr w:type="spellStart"/>
      <w:r w:rsidR="00995D94" w:rsidRPr="00995D94">
        <w:rPr>
          <w:i/>
        </w:rPr>
        <w:t>finalLinkage</w:t>
      </w:r>
      <w:proofErr w:type="spellEnd"/>
      <w:r w:rsidR="00995D94" w:rsidRPr="00995D94">
        <w:rPr>
          <w:i/>
        </w:rPr>
        <w:t>="</w:t>
      </w:r>
      <w:proofErr w:type="spellStart"/>
      <w:r w:rsidR="00995D94" w:rsidRPr="00995D94">
        <w:rPr>
          <w:i/>
        </w:rPr>
        <w:t>ward.D</w:t>
      </w:r>
      <w:proofErr w:type="spellEnd"/>
      <w:r w:rsidR="00995D94" w:rsidRPr="00995D94">
        <w:rPr>
          <w:i/>
        </w:rPr>
        <w:t>"</w:t>
      </w:r>
      <w:r>
        <w:t>) de 2 à 10 groupes (</w:t>
      </w:r>
      <w:proofErr w:type="spellStart"/>
      <w:r>
        <w:rPr>
          <w:i/>
        </w:rPr>
        <w:t>nmax</w:t>
      </w:r>
      <w:proofErr w:type="spellEnd"/>
      <w:r>
        <w:rPr>
          <w:i/>
        </w:rPr>
        <w:t>=10</w:t>
      </w:r>
      <w:r>
        <w:t>) en prenant à chaque fois 80% des sondes (</w:t>
      </w:r>
      <w:proofErr w:type="spellStart"/>
      <w:r w:rsidRPr="00995D94">
        <w:rPr>
          <w:i/>
        </w:rPr>
        <w:t>pFeature</w:t>
      </w:r>
      <w:proofErr w:type="spellEnd"/>
      <w:r w:rsidRPr="00995D94">
        <w:rPr>
          <w:i/>
        </w:rPr>
        <w:t>=0.8</w:t>
      </w:r>
      <w:r>
        <w:t>) et 80% des échantillons (</w:t>
      </w:r>
      <w:proofErr w:type="spellStart"/>
      <w:r w:rsidRPr="00995D94">
        <w:rPr>
          <w:i/>
        </w:rPr>
        <w:t>pItem</w:t>
      </w:r>
      <w:proofErr w:type="spellEnd"/>
      <w:r w:rsidRPr="00995D94">
        <w:rPr>
          <w:i/>
        </w:rPr>
        <w:t>=0.8</w:t>
      </w:r>
      <w:r>
        <w:t>)</w:t>
      </w:r>
      <w:r w:rsidR="00995D94">
        <w:t xml:space="preserve">. La fonction génère des graphes donc il faut ouvrir un </w:t>
      </w:r>
      <w:proofErr w:type="spellStart"/>
      <w:r w:rsidR="00995D94">
        <w:t>pdf</w:t>
      </w:r>
      <w:proofErr w:type="spellEnd"/>
      <w:r w:rsidR="00995D94">
        <w:t xml:space="preserve"> avant de la lancer.</w:t>
      </w:r>
      <w:r w:rsidR="00FB70EB">
        <w:t xml:space="preserve"> Vous pouvez stocker les résultats renvoyés par la fonction dans un objet </w:t>
      </w:r>
      <w:proofErr w:type="spellStart"/>
      <w:r w:rsidR="00FB70EB">
        <w:rPr>
          <w:i/>
        </w:rPr>
        <w:t>consclust</w:t>
      </w:r>
      <w:proofErr w:type="spellEnd"/>
      <w:r w:rsidR="00FB70EB">
        <w:t>.</w:t>
      </w:r>
    </w:p>
    <w:p w14:paraId="25A771F4" w14:textId="0476AA58" w:rsidR="00995D94" w:rsidRPr="00995D94" w:rsidRDefault="00995D94" w:rsidP="00A12CB3">
      <w:pPr>
        <w:jc w:val="both"/>
        <w:rPr>
          <w:i/>
        </w:rPr>
      </w:pPr>
      <w:proofErr w:type="spellStart"/>
      <w:proofErr w:type="gramStart"/>
      <w:r>
        <w:rPr>
          <w:i/>
        </w:rPr>
        <w:t>pdf</w:t>
      </w:r>
      <w:proofErr w:type="spellEnd"/>
      <w:r>
        <w:rPr>
          <w:i/>
        </w:rPr>
        <w:t>(</w:t>
      </w:r>
      <w:proofErr w:type="gramEnd"/>
      <w:r>
        <w:rPr>
          <w:i/>
        </w:rPr>
        <w:t xml:space="preserve">), </w:t>
      </w:r>
      <w:proofErr w:type="spellStart"/>
      <w:r>
        <w:rPr>
          <w:i/>
        </w:rPr>
        <w:t>ConsensusClusterPlus</w:t>
      </w:r>
      <w:proofErr w:type="spellEnd"/>
      <w:r>
        <w:rPr>
          <w:i/>
        </w:rPr>
        <w:t xml:space="preserve">(), </w:t>
      </w:r>
      <w:proofErr w:type="spellStart"/>
      <w:r>
        <w:rPr>
          <w:i/>
        </w:rPr>
        <w:t>dev.off</w:t>
      </w:r>
      <w:proofErr w:type="spellEnd"/>
      <w:r>
        <w:rPr>
          <w:i/>
        </w:rPr>
        <w:t>()</w:t>
      </w:r>
    </w:p>
    <w:p w14:paraId="3A57FC92" w14:textId="77777777" w:rsidR="002E7F3C" w:rsidRDefault="002E7F3C" w:rsidP="00A12CB3">
      <w:pPr>
        <w:jc w:val="both"/>
      </w:pPr>
    </w:p>
    <w:p w14:paraId="65414627" w14:textId="69082511" w:rsidR="002E7F3C" w:rsidRPr="00995D94" w:rsidRDefault="00995D94" w:rsidP="00A12CB3">
      <w:pPr>
        <w:jc w:val="both"/>
      </w:pPr>
      <w:r>
        <w:t xml:space="preserve">6. Sur la base du </w:t>
      </w:r>
      <w:proofErr w:type="spellStart"/>
      <w:r>
        <w:t>clustering</w:t>
      </w:r>
      <w:proofErr w:type="spellEnd"/>
      <w:r>
        <w:t xml:space="preserve"> consensus, quel nombre de groupes vous semble le plus approprié ? </w:t>
      </w:r>
      <w:r w:rsidR="00FB70EB">
        <w:t>Chargez</w:t>
      </w:r>
      <w:r>
        <w:t xml:space="preserve"> la table d’annotations </w:t>
      </w:r>
      <w:r w:rsidR="00FB70EB">
        <w:t>(« </w:t>
      </w:r>
      <w:proofErr w:type="spellStart"/>
      <w:r w:rsidR="00464094">
        <w:t>Clinical_annotations.RData</w:t>
      </w:r>
      <w:proofErr w:type="spellEnd"/>
      <w:r w:rsidR="00FB70EB">
        <w:t> »). Ajoutez-y une colonne « </w:t>
      </w:r>
      <w:proofErr w:type="spellStart"/>
      <w:r w:rsidR="00FB70EB">
        <w:t>expGroup</w:t>
      </w:r>
      <w:proofErr w:type="spellEnd"/>
      <w:r w:rsidR="00FB70EB">
        <w:t xml:space="preserve"> »  contenant, pour les </w:t>
      </w:r>
      <w:r w:rsidR="00F11EE6">
        <w:t>34</w:t>
      </w:r>
      <w:r w:rsidR="00DD39AC">
        <w:t xml:space="preserve"> échantillons analysé</w:t>
      </w:r>
      <w:r w:rsidR="00FB70EB">
        <w:t xml:space="preserve">s sur puce expression, </w:t>
      </w:r>
      <w:r>
        <w:t xml:space="preserve">le groupe que vous </w:t>
      </w:r>
      <w:r w:rsidR="00FB70EB">
        <w:t xml:space="preserve">souhaitez assigner sur la base du </w:t>
      </w:r>
      <w:proofErr w:type="spellStart"/>
      <w:r w:rsidR="00FB70EB">
        <w:t>clustering</w:t>
      </w:r>
      <w:proofErr w:type="spellEnd"/>
      <w:r w:rsidR="00FB70EB">
        <w:t xml:space="preserve"> consensus</w:t>
      </w:r>
      <w:r>
        <w:t xml:space="preserve"> Vous pouvez récupérer le groupe </w:t>
      </w:r>
      <w:r w:rsidR="00FB70EB">
        <w:t>de</w:t>
      </w:r>
      <w:r>
        <w:t xml:space="preserve"> chaque échantillon dans l’objet </w:t>
      </w:r>
      <w:proofErr w:type="spellStart"/>
      <w:r w:rsidR="00FB70EB" w:rsidRPr="00FB70EB">
        <w:rPr>
          <w:i/>
        </w:rPr>
        <w:t>consclust</w:t>
      </w:r>
      <w:proofErr w:type="spellEnd"/>
      <w:r>
        <w:t xml:space="preserve">. Par exemple, les groupes de la classification en </w:t>
      </w:r>
      <w:r>
        <w:rPr>
          <w:i/>
        </w:rPr>
        <w:t xml:space="preserve">k </w:t>
      </w:r>
      <w:r>
        <w:t xml:space="preserve">classes sont dans </w:t>
      </w:r>
      <w:proofErr w:type="spellStart"/>
      <w:proofErr w:type="gramStart"/>
      <w:r w:rsidRPr="00995D94">
        <w:rPr>
          <w:i/>
        </w:rPr>
        <w:t>consclust</w:t>
      </w:r>
      <w:proofErr w:type="spellEnd"/>
      <w:r w:rsidRPr="00995D94">
        <w:rPr>
          <w:i/>
        </w:rPr>
        <w:t>[</w:t>
      </w:r>
      <w:proofErr w:type="gramEnd"/>
      <w:r w:rsidRPr="00995D94">
        <w:rPr>
          <w:i/>
        </w:rPr>
        <w:t>[k]]$</w:t>
      </w:r>
      <w:proofErr w:type="spellStart"/>
      <w:r w:rsidRPr="00995D94">
        <w:rPr>
          <w:i/>
        </w:rPr>
        <w:t>consensusClass</w:t>
      </w:r>
      <w:proofErr w:type="spellEnd"/>
      <w:r>
        <w:t>.</w:t>
      </w:r>
    </w:p>
    <w:p w14:paraId="396D20C9" w14:textId="77777777" w:rsidR="00995D94" w:rsidRDefault="00995D94" w:rsidP="00A12CB3">
      <w:pPr>
        <w:jc w:val="both"/>
      </w:pPr>
    </w:p>
    <w:p w14:paraId="7EA795D3" w14:textId="382E9B94" w:rsidR="00995D94" w:rsidRDefault="00995D94" w:rsidP="00A12CB3">
      <w:pPr>
        <w:jc w:val="both"/>
      </w:pPr>
      <w:r>
        <w:t xml:space="preserve">7. La table d’annotations contient le groupe </w:t>
      </w:r>
      <w:r w:rsidR="007D4DD4">
        <w:t xml:space="preserve">moléculaire </w:t>
      </w:r>
      <w:r>
        <w:t xml:space="preserve">que nous avons assigné à chaque échantillon au laboratoire </w:t>
      </w:r>
      <w:r w:rsidR="007D4DD4">
        <w:t xml:space="preserve">sur la base d’une analyse génomique intégrée </w:t>
      </w:r>
      <w:r>
        <w:t xml:space="preserve">(colonne </w:t>
      </w:r>
      <w:r w:rsidR="00B04816">
        <w:t>« </w:t>
      </w:r>
      <w:proofErr w:type="spellStart"/>
      <w:r>
        <w:t>Molecular.group</w:t>
      </w:r>
      <w:proofErr w:type="spellEnd"/>
      <w:r w:rsidR="00B04816">
        <w:t> »</w:t>
      </w:r>
      <w:r>
        <w:t>). Combien y en a-t-il ? Est-ce que votre classification est concordante avec la nôtre ?</w:t>
      </w:r>
    </w:p>
    <w:p w14:paraId="4F27C073" w14:textId="0A72F982" w:rsidR="00995D94" w:rsidRDefault="00995D94" w:rsidP="00A12CB3">
      <w:pPr>
        <w:jc w:val="both"/>
      </w:pPr>
      <w:proofErr w:type="gramStart"/>
      <w:r>
        <w:rPr>
          <w:i/>
        </w:rPr>
        <w:t>table(</w:t>
      </w:r>
      <w:proofErr w:type="gramEnd"/>
      <w:r>
        <w:rPr>
          <w:i/>
        </w:rPr>
        <w:t>)</w:t>
      </w:r>
      <w:r w:rsidR="00AE09B5">
        <w:rPr>
          <w:i/>
        </w:rPr>
        <w:t xml:space="preserve">, </w:t>
      </w:r>
      <w:proofErr w:type="spellStart"/>
      <w:r w:rsidR="00AE09B5">
        <w:rPr>
          <w:i/>
        </w:rPr>
        <w:t>chisq.test</w:t>
      </w:r>
      <w:proofErr w:type="spellEnd"/>
      <w:r w:rsidR="00AE09B5">
        <w:rPr>
          <w:i/>
        </w:rPr>
        <w:t>()</w:t>
      </w:r>
    </w:p>
    <w:p w14:paraId="2CEC0BA3" w14:textId="77777777" w:rsidR="00995D94" w:rsidRDefault="00995D94" w:rsidP="00A12CB3">
      <w:pPr>
        <w:jc w:val="both"/>
      </w:pPr>
    </w:p>
    <w:p w14:paraId="40072D6F" w14:textId="795488DF" w:rsidR="00B04816" w:rsidRDefault="00B04816" w:rsidP="00A12CB3">
      <w:pPr>
        <w:jc w:val="both"/>
      </w:pPr>
      <w:r>
        <w:t>8. Réalisez une analyse en composantes principales et représentez les projections des échantillons sur le</w:t>
      </w:r>
      <w:r w:rsidR="00F820E0">
        <w:t>s</w:t>
      </w:r>
      <w:r>
        <w:t xml:space="preserve"> 2 premières composantes principales, avec un code couleur indiquant le</w:t>
      </w:r>
      <w:r w:rsidR="00D86A6A">
        <w:t xml:space="preserve"> </w:t>
      </w:r>
      <w:r w:rsidR="007D4DD4">
        <w:t>groupe d’expression.</w:t>
      </w:r>
    </w:p>
    <w:p w14:paraId="6E66D34A" w14:textId="259C9006" w:rsidR="00B04816" w:rsidRPr="00B04816" w:rsidRDefault="00B04816" w:rsidP="00A12CB3">
      <w:pPr>
        <w:jc w:val="both"/>
        <w:rPr>
          <w:i/>
        </w:rPr>
      </w:pPr>
      <w:proofErr w:type="spellStart"/>
      <w:proofErr w:type="gramStart"/>
      <w:r>
        <w:rPr>
          <w:i/>
        </w:rPr>
        <w:t>prcomp</w:t>
      </w:r>
      <w:proofErr w:type="spellEnd"/>
      <w:r>
        <w:rPr>
          <w:i/>
        </w:rPr>
        <w:t>()</w:t>
      </w:r>
      <w:proofErr w:type="gramEnd"/>
    </w:p>
    <w:p w14:paraId="5D52A5D9" w14:textId="77777777" w:rsidR="004D0290" w:rsidRDefault="004D0290" w:rsidP="00A12CB3">
      <w:pPr>
        <w:jc w:val="both"/>
      </w:pPr>
    </w:p>
    <w:p w14:paraId="20C1FF02" w14:textId="77777777" w:rsidR="00F06E49" w:rsidRPr="00995D94" w:rsidRDefault="00F06E49" w:rsidP="00A12CB3">
      <w:pPr>
        <w:jc w:val="both"/>
      </w:pPr>
    </w:p>
    <w:p w14:paraId="6558CF9F" w14:textId="22163452" w:rsidR="00995D94" w:rsidRPr="0022648F" w:rsidRDefault="00995D94" w:rsidP="00995D94">
      <w:pPr>
        <w:jc w:val="both"/>
        <w:rPr>
          <w:b/>
        </w:rPr>
      </w:pPr>
      <w:r>
        <w:rPr>
          <w:b/>
        </w:rPr>
        <w:t>2</w:t>
      </w:r>
      <w:r w:rsidRPr="0022648F">
        <w:rPr>
          <w:b/>
        </w:rPr>
        <w:t xml:space="preserve">) </w:t>
      </w:r>
      <w:r>
        <w:rPr>
          <w:b/>
        </w:rPr>
        <w:t xml:space="preserve">Identification du/des gène(s) driver(s) </w:t>
      </w:r>
      <w:r w:rsidR="00593786">
        <w:rPr>
          <w:b/>
        </w:rPr>
        <w:t>dans</w:t>
      </w:r>
      <w:r>
        <w:rPr>
          <w:b/>
        </w:rPr>
        <w:t xml:space="preserve"> chaque groupe</w:t>
      </w:r>
    </w:p>
    <w:p w14:paraId="46B16A0C" w14:textId="58A27002" w:rsidR="004D0290" w:rsidRDefault="004D0290" w:rsidP="00A12CB3">
      <w:pPr>
        <w:jc w:val="both"/>
      </w:pPr>
      <w:r>
        <w:t>Main</w:t>
      </w:r>
      <w:r w:rsidR="00363D2D">
        <w:t>tenant que nous avons défini</w:t>
      </w:r>
      <w:r>
        <w:t xml:space="preserve"> des groupes moléculaires homogènes, nous allons utiliser les données de séquençage </w:t>
      </w:r>
      <w:proofErr w:type="spellStart"/>
      <w:r>
        <w:t>exome</w:t>
      </w:r>
      <w:proofErr w:type="spellEnd"/>
      <w:r>
        <w:t xml:space="preserve"> pour </w:t>
      </w:r>
      <w:r w:rsidR="00363D2D">
        <w:t>identifier</w:t>
      </w:r>
      <w:r>
        <w:t xml:space="preserve"> les gènes drivers mutés de façon récurrente dans chaque groupe.</w:t>
      </w:r>
    </w:p>
    <w:p w14:paraId="1F3E1DA3" w14:textId="77777777" w:rsidR="004D0290" w:rsidRDefault="004D0290" w:rsidP="00A12CB3">
      <w:pPr>
        <w:jc w:val="both"/>
      </w:pPr>
    </w:p>
    <w:p w14:paraId="10084C1E" w14:textId="75E8C713" w:rsidR="002E7F3C" w:rsidRDefault="00995D94" w:rsidP="00A12CB3">
      <w:pPr>
        <w:jc w:val="both"/>
      </w:pPr>
      <w:r>
        <w:t xml:space="preserve">1. Le fichier </w:t>
      </w:r>
      <w:r w:rsidR="00754C34">
        <w:t>« </w:t>
      </w:r>
      <w:r w:rsidR="00754C34" w:rsidRPr="00754C34">
        <w:rPr>
          <w:i/>
        </w:rPr>
        <w:t>WES_mutations.txt </w:t>
      </w:r>
      <w:r w:rsidR="00754C34">
        <w:t>» contient les mutations somatiques identifiées p</w:t>
      </w:r>
      <w:r w:rsidR="005E6E54">
        <w:t>ar séquençage de l’</w:t>
      </w:r>
      <w:proofErr w:type="spellStart"/>
      <w:r w:rsidR="005E6E54">
        <w:t>exome</w:t>
      </w:r>
      <w:proofErr w:type="spellEnd"/>
      <w:r w:rsidR="005E6E54">
        <w:t xml:space="preserve"> dans 40</w:t>
      </w:r>
      <w:r w:rsidR="00754C34">
        <w:t xml:space="preserve"> AHC. Chargez cette table dans votre session.</w:t>
      </w:r>
    </w:p>
    <w:p w14:paraId="5C40B7CF" w14:textId="3312B052" w:rsidR="00754C34" w:rsidRPr="00754C34" w:rsidRDefault="00754C34" w:rsidP="00A12CB3">
      <w:pPr>
        <w:jc w:val="both"/>
        <w:rPr>
          <w:i/>
        </w:rPr>
      </w:pPr>
      <w:proofErr w:type="spellStart"/>
      <w:proofErr w:type="gramStart"/>
      <w:r>
        <w:rPr>
          <w:i/>
        </w:rPr>
        <w:t>read.delim</w:t>
      </w:r>
      <w:proofErr w:type="spellEnd"/>
      <w:r>
        <w:rPr>
          <w:i/>
        </w:rPr>
        <w:t>()</w:t>
      </w:r>
      <w:proofErr w:type="gramEnd"/>
    </w:p>
    <w:p w14:paraId="295CC695" w14:textId="77777777" w:rsidR="002E7F3C" w:rsidRDefault="002E7F3C" w:rsidP="00A12CB3">
      <w:pPr>
        <w:jc w:val="both"/>
      </w:pPr>
    </w:p>
    <w:p w14:paraId="54BCA462" w14:textId="2EFA911D" w:rsidR="00754C34" w:rsidRPr="00957892" w:rsidRDefault="00754C34" w:rsidP="00A12CB3">
      <w:pPr>
        <w:jc w:val="both"/>
      </w:pPr>
      <w:r>
        <w:t xml:space="preserve">2. Quel est le nombre </w:t>
      </w:r>
      <w:r w:rsidR="005E6E54">
        <w:t>médian</w:t>
      </w:r>
      <w:r>
        <w:t xml:space="preserve">, minimal et maximal de mutations par échantillon ? Sachant que le kit de capture </w:t>
      </w:r>
      <w:proofErr w:type="spellStart"/>
      <w:r>
        <w:t>exome</w:t>
      </w:r>
      <w:proofErr w:type="spellEnd"/>
      <w:r>
        <w:t xml:space="preserve"> permet de séquencer 50 Mb d’ADN, quel est le taux de moyen de mutations/Mb dans les AHC ? En comparaison avec les autres types de tumeurs humaines (ci-dessous), s’agit-il d’un type de tumeur avec beaucoup ou peu de mutations ?</w:t>
      </w:r>
    </w:p>
    <w:p w14:paraId="06DEB13B" w14:textId="668617A2" w:rsidR="00754C34" w:rsidRDefault="00754C34" w:rsidP="00723440">
      <w:pPr>
        <w:jc w:val="center"/>
      </w:pPr>
      <w:r w:rsidRPr="00754C34">
        <w:rPr>
          <w:noProof/>
        </w:rPr>
        <w:drawing>
          <wp:inline distT="0" distB="0" distL="0" distR="0" wp14:anchorId="6FB0830A" wp14:editId="619FFD35">
            <wp:extent cx="5486400" cy="2219960"/>
            <wp:effectExtent l="0" t="0" r="0" b="0"/>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pic:cNvPicPr>
                      <a:picLocks noChangeAspect="1"/>
                    </pic:cNvPicPr>
                  </pic:nvPicPr>
                  <pic:blipFill>
                    <a:blip r:embed="rId9"/>
                    <a:stretch>
                      <a:fillRect/>
                    </a:stretch>
                  </pic:blipFill>
                  <pic:spPr>
                    <a:xfrm>
                      <a:off x="0" y="0"/>
                      <a:ext cx="5486400" cy="2219960"/>
                    </a:xfrm>
                    <a:prstGeom prst="rect">
                      <a:avLst/>
                    </a:prstGeom>
                  </pic:spPr>
                </pic:pic>
              </a:graphicData>
            </a:graphic>
          </wp:inline>
        </w:drawing>
      </w:r>
    </w:p>
    <w:p w14:paraId="43202DA7" w14:textId="77777777" w:rsidR="001927C6" w:rsidRDefault="001927C6" w:rsidP="00A12CB3">
      <w:pPr>
        <w:jc w:val="both"/>
      </w:pPr>
    </w:p>
    <w:p w14:paraId="2841D36A" w14:textId="7A6221CB" w:rsidR="00754C34" w:rsidRDefault="00754C34" w:rsidP="00A12CB3">
      <w:pPr>
        <w:jc w:val="both"/>
      </w:pPr>
      <w:r>
        <w:t>3. Afin d’identifier les gènes drivers de chaque groupe, ajoutez une colonne « Group » à la table des mutations, indiquant à quel groupe moléculaire appartient l’échantillon portant la mutation (colonne « Sample.ID »). Vous pouvez pour cela utiliser les groupes fournis dans la table d’annotations (colonne « </w:t>
      </w:r>
      <w:proofErr w:type="spellStart"/>
      <w:r>
        <w:t>Molecular.Group</w:t>
      </w:r>
      <w:proofErr w:type="spellEnd"/>
      <w:r>
        <w:t> »).</w:t>
      </w:r>
    </w:p>
    <w:p w14:paraId="73D2D5D4" w14:textId="0266D1F9" w:rsidR="00754C34" w:rsidRPr="00754C34" w:rsidRDefault="00754C34" w:rsidP="00A12CB3">
      <w:pPr>
        <w:jc w:val="both"/>
        <w:rPr>
          <w:i/>
        </w:rPr>
      </w:pPr>
      <w:proofErr w:type="gramStart"/>
      <w:r>
        <w:rPr>
          <w:i/>
        </w:rPr>
        <w:t>match()</w:t>
      </w:r>
      <w:proofErr w:type="gramEnd"/>
    </w:p>
    <w:p w14:paraId="496FDDA5" w14:textId="77777777" w:rsidR="00754C34" w:rsidRDefault="00754C34" w:rsidP="00A12CB3">
      <w:pPr>
        <w:jc w:val="both"/>
      </w:pPr>
    </w:p>
    <w:p w14:paraId="1D80AAC2" w14:textId="19118EBD" w:rsidR="00995D94" w:rsidRDefault="00754C34" w:rsidP="00A12CB3">
      <w:pPr>
        <w:jc w:val="both"/>
      </w:pPr>
      <w:r>
        <w:t xml:space="preserve">4. </w:t>
      </w:r>
      <w:r w:rsidR="008B0565">
        <w:t>Pouvez-vous maintenant définir le(s) gène(s) driver(s) impliqués dans chaque groupe ?</w:t>
      </w:r>
    </w:p>
    <w:p w14:paraId="519DA0A1" w14:textId="272834A1" w:rsidR="008B0565" w:rsidRPr="008B0565" w:rsidRDefault="008B0565" w:rsidP="00A12CB3">
      <w:pPr>
        <w:jc w:val="both"/>
        <w:rPr>
          <w:i/>
        </w:rPr>
      </w:pPr>
      <w:proofErr w:type="gramStart"/>
      <w:r>
        <w:rPr>
          <w:i/>
        </w:rPr>
        <w:t>table(</w:t>
      </w:r>
      <w:proofErr w:type="gramEnd"/>
      <w:r>
        <w:rPr>
          <w:i/>
        </w:rPr>
        <w:t xml:space="preserve">), sort(), </w:t>
      </w:r>
      <w:proofErr w:type="spellStart"/>
      <w:r>
        <w:rPr>
          <w:i/>
        </w:rPr>
        <w:t>tail</w:t>
      </w:r>
      <w:proofErr w:type="spellEnd"/>
      <w:r>
        <w:rPr>
          <w:i/>
        </w:rPr>
        <w:t>()</w:t>
      </w:r>
    </w:p>
    <w:p w14:paraId="6C238660" w14:textId="77777777" w:rsidR="00995D94" w:rsidRDefault="00995D94" w:rsidP="00A12CB3">
      <w:pPr>
        <w:jc w:val="both"/>
      </w:pPr>
    </w:p>
    <w:p w14:paraId="4C77CCCB" w14:textId="5674B55F" w:rsidR="008B0565" w:rsidRDefault="008B0565" w:rsidP="00A12CB3">
      <w:pPr>
        <w:jc w:val="both"/>
      </w:pPr>
      <w:r>
        <w:t xml:space="preserve">5. Les mutations qui activent les oncogènes sont le plus souvent </w:t>
      </w:r>
      <w:proofErr w:type="spellStart"/>
      <w:r>
        <w:t>missense</w:t>
      </w:r>
      <w:proofErr w:type="spellEnd"/>
      <w:r>
        <w:t xml:space="preserve"> et affectent des </w:t>
      </w:r>
      <w:proofErr w:type="spellStart"/>
      <w:r>
        <w:t>hotspots</w:t>
      </w:r>
      <w:proofErr w:type="spellEnd"/>
      <w:r>
        <w:t xml:space="preserve"> fonctionnels. Les mutations qui inactivent les gènes suppresseurs de tumeurs sont souvent perte de fonction (</w:t>
      </w:r>
      <w:proofErr w:type="spellStart"/>
      <w:r w:rsidR="00EE2517">
        <w:t>missense</w:t>
      </w:r>
      <w:proofErr w:type="spellEnd"/>
      <w:r w:rsidR="00EE2517">
        <w:t xml:space="preserve">, </w:t>
      </w:r>
      <w:r>
        <w:t xml:space="preserve">nonsense), distribués tout le long du gène, et affectent souvent les 2 copies du gènes (2 mutations dans la tumeur ou mutation + délétion). Dans quelles catégories classez-vous les gènes </w:t>
      </w:r>
      <w:r>
        <w:rPr>
          <w:i/>
        </w:rPr>
        <w:t>CTNNB1</w:t>
      </w:r>
      <w:r>
        <w:t xml:space="preserve"> et </w:t>
      </w:r>
      <w:r>
        <w:rPr>
          <w:i/>
        </w:rPr>
        <w:t>HNF1A</w:t>
      </w:r>
      <w:r>
        <w:t> ? Oncogène ou suppresseur de tumeurs ?</w:t>
      </w:r>
    </w:p>
    <w:p w14:paraId="4D93AA72" w14:textId="77777777" w:rsidR="00670AB2" w:rsidRDefault="00670AB2" w:rsidP="00A12CB3">
      <w:pPr>
        <w:jc w:val="both"/>
      </w:pPr>
    </w:p>
    <w:p w14:paraId="12D44BDD" w14:textId="77777777" w:rsidR="00F06E49" w:rsidRPr="008B0565" w:rsidRDefault="00F06E49" w:rsidP="00A12CB3">
      <w:pPr>
        <w:jc w:val="both"/>
      </w:pPr>
    </w:p>
    <w:p w14:paraId="2AF86C74" w14:textId="6932DBD7" w:rsidR="008B0565" w:rsidRPr="008854C3" w:rsidRDefault="004D0290" w:rsidP="00A12CB3">
      <w:pPr>
        <w:jc w:val="both"/>
        <w:rPr>
          <w:b/>
        </w:rPr>
      </w:pPr>
      <w:r w:rsidRPr="008854C3">
        <w:rPr>
          <w:b/>
        </w:rPr>
        <w:t xml:space="preserve">3) </w:t>
      </w:r>
      <w:r w:rsidR="00132D10">
        <w:rPr>
          <w:b/>
        </w:rPr>
        <w:t>Recherche du mécanisme oncogénique impliqué dans les UHCA</w:t>
      </w:r>
    </w:p>
    <w:p w14:paraId="04E3EFA8" w14:textId="7853E119" w:rsidR="008854C3" w:rsidRDefault="008A074A" w:rsidP="008A074A">
      <w:pPr>
        <w:jc w:val="both"/>
      </w:pPr>
      <w:r>
        <w:t>Le groupe UHCA (« </w:t>
      </w:r>
      <w:proofErr w:type="spellStart"/>
      <w:r>
        <w:t>unclassified</w:t>
      </w:r>
      <w:proofErr w:type="spellEnd"/>
      <w:r>
        <w:t xml:space="preserve"> HCA ») est le seul groupe pour lequel aucun gène driver muté de façon récurrente n’a pus être identifié par séquençage </w:t>
      </w:r>
      <w:proofErr w:type="spellStart"/>
      <w:r>
        <w:t>exome</w:t>
      </w:r>
      <w:proofErr w:type="spellEnd"/>
      <w:r>
        <w:t xml:space="preserve">. Nous allons étudier les gènes </w:t>
      </w:r>
      <w:proofErr w:type="spellStart"/>
      <w:r>
        <w:t>différentiellement</w:t>
      </w:r>
      <w:proofErr w:type="spellEnd"/>
      <w:r>
        <w:t xml:space="preserve"> exprimés dans ces tumeurs pour tenter d’identifier le(s) </w:t>
      </w:r>
      <w:proofErr w:type="spellStart"/>
      <w:r>
        <w:t>pathway</w:t>
      </w:r>
      <w:proofErr w:type="spellEnd"/>
      <w:r>
        <w:t>(s) oncogénique(s) impliqué(s).</w:t>
      </w:r>
    </w:p>
    <w:p w14:paraId="069AB341" w14:textId="77777777" w:rsidR="008854C3" w:rsidRDefault="008854C3" w:rsidP="00A12CB3">
      <w:pPr>
        <w:jc w:val="both"/>
      </w:pPr>
    </w:p>
    <w:p w14:paraId="2B9956A4" w14:textId="1CA80FAB" w:rsidR="00956162" w:rsidRDefault="00812C1C" w:rsidP="00A12CB3">
      <w:pPr>
        <w:jc w:val="both"/>
      </w:pPr>
      <w:r>
        <w:t xml:space="preserve">1. </w:t>
      </w:r>
      <w:r w:rsidR="008A074A">
        <w:t xml:space="preserve">Nous allons repartir de la matrice d’expression </w:t>
      </w:r>
      <w:proofErr w:type="spellStart"/>
      <w:r w:rsidR="008A074A">
        <w:rPr>
          <w:i/>
        </w:rPr>
        <w:t>exp</w:t>
      </w:r>
      <w:proofErr w:type="spellEnd"/>
      <w:r w:rsidR="008A074A">
        <w:t xml:space="preserve"> stockée dans l’objet « </w:t>
      </w:r>
      <w:r w:rsidR="0003304F">
        <w:t>expression_matrix_31</w:t>
      </w:r>
      <w:r w:rsidR="008A074A" w:rsidRPr="00DD39AC">
        <w:t>T_3N_samples.RData</w:t>
      </w:r>
      <w:r w:rsidR="008A074A">
        <w:t xml:space="preserve"> ». </w:t>
      </w:r>
      <w:r w:rsidR="000B47C6">
        <w:t>Chargez également la table «</w:t>
      </w:r>
      <w:proofErr w:type="spellStart"/>
      <w:r w:rsidR="000B47C6" w:rsidRPr="000B47C6">
        <w:t>expression_array_annotations.RData</w:t>
      </w:r>
      <w:proofErr w:type="spellEnd"/>
      <w:r w:rsidR="000B47C6">
        <w:t xml:space="preserve"> » qui contient les annotations (gène cible) de chaque sonde de la puce expression. </w:t>
      </w:r>
      <w:r w:rsidR="008A074A">
        <w:t>Pour limiter le nombre de tests à réaliser, réduis</w:t>
      </w:r>
      <w:r w:rsidR="00956162">
        <w:t>e</w:t>
      </w:r>
      <w:r w:rsidR="008A074A">
        <w:t xml:space="preserve">z </w:t>
      </w:r>
      <w:r w:rsidR="000B47C6">
        <w:t>ces tables</w:t>
      </w:r>
      <w:r w:rsidR="00956162">
        <w:t xml:space="preserve"> aux gènes présentant un niveau d’expression </w:t>
      </w:r>
      <w:r w:rsidR="0027305E">
        <w:t>suffisant (expression moyenne ≥3</w:t>
      </w:r>
      <w:r w:rsidR="00956162">
        <w:t>).</w:t>
      </w:r>
    </w:p>
    <w:p w14:paraId="349DAB7E" w14:textId="77777777" w:rsidR="00956162" w:rsidRDefault="00956162" w:rsidP="00A12CB3">
      <w:pPr>
        <w:jc w:val="both"/>
      </w:pPr>
    </w:p>
    <w:p w14:paraId="01867E6D" w14:textId="0BEE298F" w:rsidR="00566905" w:rsidRPr="00566905" w:rsidRDefault="00566905" w:rsidP="00A12CB3">
      <w:pPr>
        <w:jc w:val="both"/>
      </w:pPr>
      <w:r>
        <w:t xml:space="preserve">3. Utilisez la fonction </w:t>
      </w:r>
      <w:proofErr w:type="gramStart"/>
      <w:r>
        <w:rPr>
          <w:i/>
        </w:rPr>
        <w:t>source(</w:t>
      </w:r>
      <w:proofErr w:type="gramEnd"/>
      <w:r>
        <w:rPr>
          <w:i/>
        </w:rPr>
        <w:t>)</w:t>
      </w:r>
      <w:r>
        <w:t xml:space="preserve"> pour lire le script « </w:t>
      </w:r>
      <w:proofErr w:type="spellStart"/>
      <w:r>
        <w:rPr>
          <w:i/>
        </w:rPr>
        <w:t>Functions_for_supervised_analysis.R</w:t>
      </w:r>
      <w:proofErr w:type="spellEnd"/>
      <w:r>
        <w:rPr>
          <w:i/>
        </w:rPr>
        <w:t xml:space="preserve"> » </w:t>
      </w:r>
      <w:r>
        <w:t xml:space="preserve">qui contient les fonctions </w:t>
      </w:r>
      <w:proofErr w:type="spellStart"/>
      <w:r w:rsidRPr="00566905">
        <w:rPr>
          <w:i/>
        </w:rPr>
        <w:t>ExpCompare</w:t>
      </w:r>
      <w:proofErr w:type="spellEnd"/>
      <w:r>
        <w:t xml:space="preserve"> et </w:t>
      </w:r>
      <w:proofErr w:type="spellStart"/>
      <w:r w:rsidRPr="00566905">
        <w:rPr>
          <w:i/>
        </w:rPr>
        <w:t>enrichmentTest</w:t>
      </w:r>
      <w:proofErr w:type="spellEnd"/>
      <w:r>
        <w:t xml:space="preserve"> nécessaires aux étapes suivantes.</w:t>
      </w:r>
    </w:p>
    <w:p w14:paraId="1FACD751" w14:textId="77777777" w:rsidR="00566905" w:rsidRDefault="00566905" w:rsidP="00A12CB3">
      <w:pPr>
        <w:jc w:val="both"/>
      </w:pPr>
    </w:p>
    <w:p w14:paraId="0E1FC0EF" w14:textId="44EF7803" w:rsidR="008B0565" w:rsidRPr="00146216" w:rsidRDefault="00096159" w:rsidP="00A12CB3">
      <w:pPr>
        <w:jc w:val="both"/>
      </w:pPr>
      <w:r>
        <w:t>4</w:t>
      </w:r>
      <w:r w:rsidR="00BA4322">
        <w:t xml:space="preserve">. </w:t>
      </w:r>
      <w:r w:rsidR="00146216">
        <w:t xml:space="preserve">Utilisez la fonction </w:t>
      </w:r>
      <w:proofErr w:type="spellStart"/>
      <w:r w:rsidR="00146216">
        <w:rPr>
          <w:i/>
        </w:rPr>
        <w:t>ExpCompare</w:t>
      </w:r>
      <w:proofErr w:type="spellEnd"/>
      <w:r w:rsidR="00146216">
        <w:t xml:space="preserve"> </w:t>
      </w:r>
      <w:r w:rsidR="00BA4322">
        <w:t xml:space="preserve">pour réalisez une analyse d’expression différentielle entre les </w:t>
      </w:r>
      <w:r w:rsidR="008A074A">
        <w:t>4 tumeurs du groupe UHCA (</w:t>
      </w:r>
      <w:r w:rsidR="008A074A" w:rsidRPr="008A074A">
        <w:t>CHC603T</w:t>
      </w:r>
      <w:r w:rsidR="008A074A">
        <w:t xml:space="preserve">, CHC605T, </w:t>
      </w:r>
      <w:r w:rsidR="00351971">
        <w:t xml:space="preserve">CHC950T  et </w:t>
      </w:r>
      <w:r w:rsidR="008A074A">
        <w:t>CHC1317T)</w:t>
      </w:r>
      <w:r w:rsidR="00956162">
        <w:t xml:space="preserve"> </w:t>
      </w:r>
      <w:r w:rsidR="00BA4322">
        <w:t>et les échantillons de foie normal.</w:t>
      </w:r>
      <w:r w:rsidR="00146216">
        <w:t xml:space="preserve"> La fonction reçoit en entrée la matrice d’expression (</w:t>
      </w:r>
      <w:proofErr w:type="spellStart"/>
      <w:r w:rsidR="00146216" w:rsidRPr="008A074A">
        <w:rPr>
          <w:i/>
        </w:rPr>
        <w:t>exp</w:t>
      </w:r>
      <w:proofErr w:type="spellEnd"/>
      <w:r w:rsidR="00146216">
        <w:t>), les annotations de la puce (</w:t>
      </w:r>
      <w:proofErr w:type="spellStart"/>
      <w:r w:rsidR="00146216">
        <w:rPr>
          <w:i/>
        </w:rPr>
        <w:t>featureTab</w:t>
      </w:r>
      <w:proofErr w:type="spellEnd"/>
      <w:r w:rsidR="00146216">
        <w:t>), un vecteur avec les noms des échantillons de référence (</w:t>
      </w:r>
      <w:proofErr w:type="spellStart"/>
      <w:r w:rsidR="00146216">
        <w:rPr>
          <w:i/>
        </w:rPr>
        <w:t>refsamp</w:t>
      </w:r>
      <w:proofErr w:type="spellEnd"/>
      <w:r w:rsidR="00146216">
        <w:t>) et un autre avec les échantillons à tester (</w:t>
      </w:r>
      <w:proofErr w:type="spellStart"/>
      <w:r w:rsidR="00146216">
        <w:rPr>
          <w:i/>
        </w:rPr>
        <w:t>gpsamp</w:t>
      </w:r>
      <w:proofErr w:type="spellEnd"/>
      <w:r w:rsidR="00146216">
        <w:t>).</w:t>
      </w:r>
    </w:p>
    <w:p w14:paraId="1CE34D2F" w14:textId="003E049E" w:rsidR="00BA4322" w:rsidRPr="00BA4322" w:rsidRDefault="00146216" w:rsidP="00A12CB3">
      <w:pPr>
        <w:jc w:val="both"/>
        <w:rPr>
          <w:i/>
        </w:rPr>
      </w:pPr>
      <w:proofErr w:type="spellStart"/>
      <w:proofErr w:type="gramStart"/>
      <w:r>
        <w:rPr>
          <w:i/>
        </w:rPr>
        <w:t>ExpCompare</w:t>
      </w:r>
      <w:proofErr w:type="spellEnd"/>
      <w:r w:rsidR="00BA4322">
        <w:rPr>
          <w:i/>
        </w:rPr>
        <w:t>()</w:t>
      </w:r>
      <w:proofErr w:type="gramEnd"/>
    </w:p>
    <w:p w14:paraId="546484C5" w14:textId="77777777" w:rsidR="00BA4322" w:rsidRPr="00BA4322" w:rsidRDefault="00BA4322" w:rsidP="00A12CB3">
      <w:pPr>
        <w:jc w:val="both"/>
      </w:pPr>
    </w:p>
    <w:p w14:paraId="7E1A7735" w14:textId="66B4DB43" w:rsidR="00303225" w:rsidRDefault="00096159" w:rsidP="00A12CB3">
      <w:pPr>
        <w:jc w:val="both"/>
      </w:pPr>
      <w:r>
        <w:t>5</w:t>
      </w:r>
      <w:r w:rsidR="00BA4322">
        <w:t xml:space="preserve">. Stockez les gènes </w:t>
      </w:r>
      <w:r w:rsidR="003D3C83">
        <w:t>s</w:t>
      </w:r>
      <w:r w:rsidR="008A074A">
        <w:t xml:space="preserve">ignificativement </w:t>
      </w:r>
      <w:proofErr w:type="spellStart"/>
      <w:r w:rsidR="008A074A">
        <w:t>sur-exprimés</w:t>
      </w:r>
      <w:proofErr w:type="spellEnd"/>
      <w:r w:rsidR="008A074A">
        <w:t xml:space="preserve"> (</w:t>
      </w:r>
      <w:proofErr w:type="spellStart"/>
      <w:r w:rsidR="008A074A">
        <w:t>pval</w:t>
      </w:r>
      <w:proofErr w:type="spellEnd"/>
      <w:r w:rsidR="008A074A">
        <w:t xml:space="preserve"> &lt; 0.001</w:t>
      </w:r>
      <w:r w:rsidR="008D167D">
        <w:t>, FC &gt; 1</w:t>
      </w:r>
      <w:r w:rsidR="00BA4322">
        <w:t xml:space="preserve">) dans un vecteur </w:t>
      </w:r>
      <w:r w:rsidR="00BA4322">
        <w:rPr>
          <w:i/>
        </w:rPr>
        <w:t>up</w:t>
      </w:r>
      <w:r w:rsidR="00BA4322">
        <w:t xml:space="preserve"> et les gènes significativement sous-exprimés (</w:t>
      </w:r>
      <w:proofErr w:type="spellStart"/>
      <w:r w:rsidR="008A074A">
        <w:t>pval</w:t>
      </w:r>
      <w:proofErr w:type="spellEnd"/>
      <w:r w:rsidR="008A074A">
        <w:t xml:space="preserve"> &lt; 0.001</w:t>
      </w:r>
      <w:r w:rsidR="008D167D">
        <w:t>, FC &lt; 1</w:t>
      </w:r>
      <w:r w:rsidR="00BA4322">
        <w:t xml:space="preserve">) dans un vecteur </w:t>
      </w:r>
      <w:r w:rsidR="00BA4322">
        <w:rPr>
          <w:i/>
        </w:rPr>
        <w:t>down</w:t>
      </w:r>
      <w:r w:rsidR="00BA4322">
        <w:t>. Combien y a-t-il de gènes sur- et sous-exprimés ?</w:t>
      </w:r>
    </w:p>
    <w:p w14:paraId="6C2FEFE0" w14:textId="26E609D9" w:rsidR="00BA4322" w:rsidRPr="00BA4322" w:rsidRDefault="00BA4322" w:rsidP="00A12CB3">
      <w:pPr>
        <w:jc w:val="both"/>
        <w:rPr>
          <w:i/>
        </w:rPr>
      </w:pPr>
      <w:proofErr w:type="spellStart"/>
      <w:proofErr w:type="gramStart"/>
      <w:r w:rsidRPr="00BA4322">
        <w:rPr>
          <w:i/>
        </w:rPr>
        <w:t>which</w:t>
      </w:r>
      <w:proofErr w:type="spellEnd"/>
      <w:r w:rsidRPr="00BA4322">
        <w:rPr>
          <w:i/>
        </w:rPr>
        <w:t>(</w:t>
      </w:r>
      <w:proofErr w:type="gramEnd"/>
      <w:r w:rsidRPr="00BA4322">
        <w:rPr>
          <w:i/>
        </w:rPr>
        <w:t xml:space="preserve">), </w:t>
      </w:r>
      <w:proofErr w:type="spellStart"/>
      <w:r w:rsidRPr="00BA4322">
        <w:rPr>
          <w:i/>
        </w:rPr>
        <w:t>length</w:t>
      </w:r>
      <w:proofErr w:type="spellEnd"/>
      <w:r w:rsidRPr="00BA4322">
        <w:rPr>
          <w:i/>
        </w:rPr>
        <w:t>()</w:t>
      </w:r>
    </w:p>
    <w:p w14:paraId="6214967B" w14:textId="77777777" w:rsidR="00BA4322" w:rsidRDefault="00BA4322" w:rsidP="00A12CB3">
      <w:pPr>
        <w:jc w:val="both"/>
      </w:pPr>
    </w:p>
    <w:p w14:paraId="4ADDE5EB" w14:textId="5CFC21C8" w:rsidR="00BA4322" w:rsidRDefault="00096159" w:rsidP="00A12CB3">
      <w:pPr>
        <w:jc w:val="both"/>
      </w:pPr>
      <w:r>
        <w:t>6</w:t>
      </w:r>
      <w:r w:rsidR="00BA4322">
        <w:t xml:space="preserve">. Pour mieux comprendre à quoi correspondent ces gènes, nous allons réaliser une analyse d’enrichissement. Il s’agit d’identifier des voies cellulaires enrichies parmi les gènes </w:t>
      </w:r>
      <w:r w:rsidR="00BA4322">
        <w:rPr>
          <w:i/>
        </w:rPr>
        <w:t>up</w:t>
      </w:r>
      <w:r w:rsidR="00BA4322">
        <w:t xml:space="preserve"> et </w:t>
      </w:r>
      <w:r w:rsidR="00BA4322">
        <w:rPr>
          <w:i/>
        </w:rPr>
        <w:t>down</w:t>
      </w:r>
      <w:r w:rsidR="00BA4322">
        <w:t xml:space="preserve">. Chargez la liste des </w:t>
      </w:r>
      <w:proofErr w:type="spellStart"/>
      <w:r w:rsidR="00BA4322">
        <w:t>pathways</w:t>
      </w:r>
      <w:proofErr w:type="spellEnd"/>
      <w:r w:rsidR="00BA4322">
        <w:t xml:space="preserve"> cellulaires (</w:t>
      </w:r>
      <w:proofErr w:type="spellStart"/>
      <w:r w:rsidR="005539D5">
        <w:t>gene</w:t>
      </w:r>
      <w:proofErr w:type="spellEnd"/>
      <w:r w:rsidR="005539D5">
        <w:t xml:space="preserve"> sets) à tester (« </w:t>
      </w:r>
      <w:proofErr w:type="spellStart"/>
      <w:r w:rsidR="005539D5">
        <w:t>g</w:t>
      </w:r>
      <w:r w:rsidR="00BA4322">
        <w:t>ene_sets.Rdata</w:t>
      </w:r>
      <w:proofErr w:type="spellEnd"/>
      <w:r w:rsidR="00BA4322">
        <w:t xml:space="preserve"> »). Vous pouvez utiliser la fonction </w:t>
      </w:r>
      <w:proofErr w:type="spellStart"/>
      <w:r w:rsidR="00BA4322" w:rsidRPr="00E26E16">
        <w:rPr>
          <w:i/>
        </w:rPr>
        <w:t>enrichmentTest</w:t>
      </w:r>
      <w:proofErr w:type="spellEnd"/>
      <w:r w:rsidR="00BA4322">
        <w:t xml:space="preserve"> pour identifier les </w:t>
      </w:r>
      <w:proofErr w:type="spellStart"/>
      <w:r w:rsidR="00BA4322">
        <w:t>pathways</w:t>
      </w:r>
      <w:proofErr w:type="spellEnd"/>
      <w:r w:rsidR="00BA4322">
        <w:t xml:space="preserve"> enrichis. Vous devez spécifier les </w:t>
      </w:r>
      <w:proofErr w:type="spellStart"/>
      <w:r w:rsidR="00BA4322">
        <w:t>gene</w:t>
      </w:r>
      <w:proofErr w:type="spellEnd"/>
      <w:r w:rsidR="00BA4322">
        <w:t xml:space="preserve"> sets à tester (argument </w:t>
      </w:r>
      <w:proofErr w:type="spellStart"/>
      <w:r w:rsidR="00BA4322">
        <w:rPr>
          <w:i/>
        </w:rPr>
        <w:t>gene.</w:t>
      </w:r>
      <w:r w:rsidR="00BA4322" w:rsidRPr="00BA4322">
        <w:t>sets</w:t>
      </w:r>
      <w:proofErr w:type="spellEnd"/>
      <w:r w:rsidR="00BA4322">
        <w:t>), les gènes d’intérêt (</w:t>
      </w:r>
      <w:r w:rsidR="00BA4322" w:rsidRPr="00B84308">
        <w:rPr>
          <w:i/>
        </w:rPr>
        <w:t>up</w:t>
      </w:r>
      <w:r w:rsidR="00BA4322">
        <w:t xml:space="preserve"> ou </w:t>
      </w:r>
      <w:r w:rsidR="00BA4322">
        <w:rPr>
          <w:i/>
        </w:rPr>
        <w:t>down</w:t>
      </w:r>
      <w:r w:rsidR="00BA4322">
        <w:t xml:space="preserve">, argument </w:t>
      </w:r>
      <w:proofErr w:type="spellStart"/>
      <w:r w:rsidR="00BA4322">
        <w:rPr>
          <w:i/>
        </w:rPr>
        <w:t>mylist</w:t>
      </w:r>
      <w:proofErr w:type="spellEnd"/>
      <w:r w:rsidR="00BA4322">
        <w:t xml:space="preserve">), et l’ensemble des gènes testés (c’est à dire l’ensemble des gènes représentés sur la puce, argument </w:t>
      </w:r>
      <w:proofErr w:type="spellStart"/>
      <w:r w:rsidR="00BA4322">
        <w:rPr>
          <w:i/>
        </w:rPr>
        <w:t>possibleIds</w:t>
      </w:r>
      <w:proofErr w:type="spellEnd"/>
      <w:r w:rsidR="00BA4322">
        <w:rPr>
          <w:i/>
        </w:rPr>
        <w:t>)</w:t>
      </w:r>
      <w:r w:rsidR="00BA4322">
        <w:t>.</w:t>
      </w:r>
    </w:p>
    <w:p w14:paraId="69F6A85E" w14:textId="1B9CCEC1" w:rsidR="00BA4322" w:rsidRDefault="00BA4322" w:rsidP="00A12CB3">
      <w:pPr>
        <w:jc w:val="both"/>
        <w:rPr>
          <w:i/>
        </w:rPr>
      </w:pPr>
      <w:proofErr w:type="spellStart"/>
      <w:proofErr w:type="gramStart"/>
      <w:r w:rsidRPr="00BA4322">
        <w:rPr>
          <w:i/>
        </w:rPr>
        <w:t>enrichmentTest</w:t>
      </w:r>
      <w:proofErr w:type="spellEnd"/>
      <w:r w:rsidRPr="00BA4322">
        <w:rPr>
          <w:i/>
        </w:rPr>
        <w:t>()</w:t>
      </w:r>
      <w:proofErr w:type="gramEnd"/>
    </w:p>
    <w:p w14:paraId="69B471D7" w14:textId="77777777" w:rsidR="00BA4322" w:rsidRDefault="00BA4322" w:rsidP="00A12CB3">
      <w:pPr>
        <w:jc w:val="both"/>
        <w:rPr>
          <w:i/>
        </w:rPr>
      </w:pPr>
    </w:p>
    <w:p w14:paraId="434C7D38" w14:textId="0DEFA727" w:rsidR="008A074A" w:rsidRDefault="00096159" w:rsidP="00A12CB3">
      <w:pPr>
        <w:jc w:val="both"/>
      </w:pPr>
      <w:r>
        <w:t>7</w:t>
      </w:r>
      <w:r w:rsidR="00BA4322">
        <w:t>. Quel</w:t>
      </w:r>
      <w:r w:rsidR="008A074A">
        <w:t xml:space="preserve"> </w:t>
      </w:r>
      <w:proofErr w:type="spellStart"/>
      <w:r w:rsidR="008A074A">
        <w:t>pathway</w:t>
      </w:r>
      <w:proofErr w:type="spellEnd"/>
      <w:r w:rsidR="008A074A">
        <w:t xml:space="preserve"> est le plus significativem</w:t>
      </w:r>
      <w:bookmarkStart w:id="0" w:name="_GoBack"/>
      <w:bookmarkEnd w:id="0"/>
      <w:r w:rsidR="008A074A">
        <w:t>ent enrichi parmi les gènes surexprimés dans le sous-groupe de 4 tumeurs</w:t>
      </w:r>
      <w:r w:rsidR="00DF230C">
        <w:t xml:space="preserve"> </w:t>
      </w:r>
      <w:r w:rsidR="008A074A">
        <w:t>?</w:t>
      </w:r>
      <w:r w:rsidR="00DF230C">
        <w:t xml:space="preserve"> Quels gènes surexprimés appartiennent à ce </w:t>
      </w:r>
      <w:proofErr w:type="spellStart"/>
      <w:r w:rsidR="00DF230C">
        <w:t>pathway</w:t>
      </w:r>
      <w:proofErr w:type="spellEnd"/>
      <w:r w:rsidR="00DF230C">
        <w:t> (colonne «</w:t>
      </w:r>
      <w:proofErr w:type="spellStart"/>
      <w:r w:rsidR="00DF230C" w:rsidRPr="00DF230C">
        <w:t>corresponding</w:t>
      </w:r>
      <w:proofErr w:type="spellEnd"/>
      <w:r w:rsidR="00DF230C" w:rsidRPr="00DF230C">
        <w:t xml:space="preserve"> </w:t>
      </w:r>
      <w:proofErr w:type="spellStart"/>
      <w:r w:rsidR="00DF230C" w:rsidRPr="00DF230C">
        <w:t>elements</w:t>
      </w:r>
      <w:proofErr w:type="spellEnd"/>
      <w:r w:rsidR="00DF230C" w:rsidRPr="00DF230C">
        <w:t xml:space="preserve"> in </w:t>
      </w:r>
      <w:proofErr w:type="spellStart"/>
      <w:r w:rsidR="00DF230C" w:rsidRPr="00DF230C">
        <w:t>list</w:t>
      </w:r>
      <w:proofErr w:type="spellEnd"/>
      <w:r w:rsidR="00DF230C">
        <w:t> ») ?</w:t>
      </w:r>
    </w:p>
    <w:p w14:paraId="2C115F57" w14:textId="77777777" w:rsidR="008A074A" w:rsidRDefault="008A074A" w:rsidP="00A12CB3">
      <w:pPr>
        <w:jc w:val="both"/>
      </w:pPr>
    </w:p>
    <w:p w14:paraId="4A8039FE" w14:textId="0936C710" w:rsidR="00BA4322" w:rsidRDefault="008A074A" w:rsidP="00A12CB3">
      <w:pPr>
        <w:jc w:val="both"/>
      </w:pPr>
      <w:r>
        <w:t xml:space="preserve">8. </w:t>
      </w:r>
      <w:r w:rsidR="00132D10">
        <w:t xml:space="preserve">N’ayant pas trouvé d’altération récurrente dans les séquences codantes (séquençage </w:t>
      </w:r>
      <w:proofErr w:type="spellStart"/>
      <w:r w:rsidR="00132D10">
        <w:t>exome</w:t>
      </w:r>
      <w:proofErr w:type="spellEnd"/>
      <w:r w:rsidR="00132D10">
        <w:t xml:space="preserve">), nous avons séquencé le génome complet de 3 tumeurs du groupe UHCA. Le séquençage génome complet permet notamment d’identifier des réarrangement structuraux (délétions, duplications, translocations chromosomiques ou inversions) non détectables par séquençage </w:t>
      </w:r>
      <w:proofErr w:type="spellStart"/>
      <w:r w:rsidR="00132D10">
        <w:t>exome</w:t>
      </w:r>
      <w:proofErr w:type="spellEnd"/>
      <w:r w:rsidR="00132D10">
        <w:t xml:space="preserve">. La table </w:t>
      </w:r>
      <w:r w:rsidR="00DF230C">
        <w:t>ci-dessous indique</w:t>
      </w:r>
      <w:r w:rsidR="00132D10">
        <w:t xml:space="preserve"> les réarrangements identifiés dans les 3 UHCA. Quel gène est altéré dans les 3 tumeurs ? Est-ce cohérent avec votre analyse de </w:t>
      </w:r>
      <w:proofErr w:type="spellStart"/>
      <w:r w:rsidR="00132D10">
        <w:t>pathway</w:t>
      </w:r>
      <w:proofErr w:type="spellEnd"/>
      <w:r w:rsidR="00132D10">
        <w:t> ?</w:t>
      </w:r>
    </w:p>
    <w:p w14:paraId="7B8E198C" w14:textId="77777777" w:rsidR="00DF230C" w:rsidRDefault="00DF230C" w:rsidP="00A12CB3">
      <w:pPr>
        <w:jc w:val="both"/>
      </w:pPr>
    </w:p>
    <w:p w14:paraId="616EBA26" w14:textId="4DA00602" w:rsidR="00DF230C" w:rsidRDefault="00DF230C" w:rsidP="00A12CB3">
      <w:pPr>
        <w:jc w:val="both"/>
      </w:pPr>
      <w:r>
        <w:rPr>
          <w:noProof/>
        </w:rPr>
        <w:drawing>
          <wp:inline distT="0" distB="0" distL="0" distR="0" wp14:anchorId="084CD6CC" wp14:editId="66CDADB6">
            <wp:extent cx="5756910" cy="102694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026941"/>
                    </a:xfrm>
                    <a:prstGeom prst="rect">
                      <a:avLst/>
                    </a:prstGeom>
                    <a:noFill/>
                    <a:ln>
                      <a:noFill/>
                    </a:ln>
                  </pic:spPr>
                </pic:pic>
              </a:graphicData>
            </a:graphic>
          </wp:inline>
        </w:drawing>
      </w:r>
    </w:p>
    <w:p w14:paraId="0FFD6883" w14:textId="56001C7B" w:rsidR="00DF230C" w:rsidRPr="00BA4322" w:rsidRDefault="00DF230C" w:rsidP="00A12CB3">
      <w:pPr>
        <w:jc w:val="both"/>
      </w:pPr>
    </w:p>
    <w:sectPr w:rsidR="00DF230C" w:rsidRPr="00BA4322" w:rsidSect="00FD5FC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137CF" w14:textId="77777777" w:rsidR="00C26858" w:rsidRDefault="00C26858" w:rsidP="00445A91">
      <w:r>
        <w:separator/>
      </w:r>
    </w:p>
  </w:endnote>
  <w:endnote w:type="continuationSeparator" w:id="0">
    <w:p w14:paraId="10533EDB" w14:textId="77777777" w:rsidR="00C26858" w:rsidRDefault="00C26858" w:rsidP="0044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04BEB" w14:textId="77777777" w:rsidR="00C26858" w:rsidRDefault="00C26858" w:rsidP="00445A91">
      <w:r>
        <w:separator/>
      </w:r>
    </w:p>
  </w:footnote>
  <w:footnote w:type="continuationSeparator" w:id="0">
    <w:p w14:paraId="1479122E" w14:textId="77777777" w:rsidR="00C26858" w:rsidRDefault="00C26858" w:rsidP="00445A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6" w:nlCheck="1" w:checkStyle="1"/>
  <w:activeWritingStyle w:appName="MSWord" w:lang="fr-FR" w:vendorID="64" w:dllVersion="6" w:nlCheck="1" w:checkStyle="1"/>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991"/>
    <w:rsid w:val="00014D58"/>
    <w:rsid w:val="0003304F"/>
    <w:rsid w:val="00071600"/>
    <w:rsid w:val="00096159"/>
    <w:rsid w:val="000B47C6"/>
    <w:rsid w:val="000F1634"/>
    <w:rsid w:val="00110415"/>
    <w:rsid w:val="00132D10"/>
    <w:rsid w:val="00146216"/>
    <w:rsid w:val="001559F4"/>
    <w:rsid w:val="00166835"/>
    <w:rsid w:val="0017774D"/>
    <w:rsid w:val="0018078F"/>
    <w:rsid w:val="001927C6"/>
    <w:rsid w:val="001C616F"/>
    <w:rsid w:val="001D33F8"/>
    <w:rsid w:val="00204821"/>
    <w:rsid w:val="0022648F"/>
    <w:rsid w:val="002539A3"/>
    <w:rsid w:val="0027305E"/>
    <w:rsid w:val="002E2469"/>
    <w:rsid w:val="002E7F3C"/>
    <w:rsid w:val="002F4102"/>
    <w:rsid w:val="00303225"/>
    <w:rsid w:val="00337057"/>
    <w:rsid w:val="00351971"/>
    <w:rsid w:val="00363D2D"/>
    <w:rsid w:val="003D3C83"/>
    <w:rsid w:val="003D7295"/>
    <w:rsid w:val="003F3E3F"/>
    <w:rsid w:val="0042752D"/>
    <w:rsid w:val="00445A91"/>
    <w:rsid w:val="00464094"/>
    <w:rsid w:val="004B56D5"/>
    <w:rsid w:val="004C6123"/>
    <w:rsid w:val="004D0290"/>
    <w:rsid w:val="004D23C1"/>
    <w:rsid w:val="0050577B"/>
    <w:rsid w:val="00507DBB"/>
    <w:rsid w:val="005539D5"/>
    <w:rsid w:val="00566905"/>
    <w:rsid w:val="00581E2B"/>
    <w:rsid w:val="00593786"/>
    <w:rsid w:val="0059509B"/>
    <w:rsid w:val="005A407C"/>
    <w:rsid w:val="005D7CCD"/>
    <w:rsid w:val="005E6E54"/>
    <w:rsid w:val="00670AB2"/>
    <w:rsid w:val="006B1341"/>
    <w:rsid w:val="006B7BE3"/>
    <w:rsid w:val="00723440"/>
    <w:rsid w:val="00754C34"/>
    <w:rsid w:val="007D4DD4"/>
    <w:rsid w:val="00806FD4"/>
    <w:rsid w:val="00812C1C"/>
    <w:rsid w:val="00874F8D"/>
    <w:rsid w:val="008854C3"/>
    <w:rsid w:val="008A074A"/>
    <w:rsid w:val="008A2B5B"/>
    <w:rsid w:val="008B0565"/>
    <w:rsid w:val="008D167D"/>
    <w:rsid w:val="008F19F5"/>
    <w:rsid w:val="00906EF1"/>
    <w:rsid w:val="00956162"/>
    <w:rsid w:val="00957892"/>
    <w:rsid w:val="0098681C"/>
    <w:rsid w:val="00995D94"/>
    <w:rsid w:val="009F41EA"/>
    <w:rsid w:val="00A12CB3"/>
    <w:rsid w:val="00A26960"/>
    <w:rsid w:val="00A34536"/>
    <w:rsid w:val="00A50968"/>
    <w:rsid w:val="00A6715E"/>
    <w:rsid w:val="00AC0248"/>
    <w:rsid w:val="00AD2436"/>
    <w:rsid w:val="00AD5542"/>
    <w:rsid w:val="00AE09B5"/>
    <w:rsid w:val="00B04816"/>
    <w:rsid w:val="00B82498"/>
    <w:rsid w:val="00B84308"/>
    <w:rsid w:val="00B9153F"/>
    <w:rsid w:val="00B92A41"/>
    <w:rsid w:val="00BA00A6"/>
    <w:rsid w:val="00BA4322"/>
    <w:rsid w:val="00BE5991"/>
    <w:rsid w:val="00BF1E6A"/>
    <w:rsid w:val="00C0505A"/>
    <w:rsid w:val="00C17EDD"/>
    <w:rsid w:val="00C26858"/>
    <w:rsid w:val="00C47D8E"/>
    <w:rsid w:val="00C94A2C"/>
    <w:rsid w:val="00D455A6"/>
    <w:rsid w:val="00D55489"/>
    <w:rsid w:val="00D86A6A"/>
    <w:rsid w:val="00DB1038"/>
    <w:rsid w:val="00DD39AC"/>
    <w:rsid w:val="00DF230C"/>
    <w:rsid w:val="00DF25CE"/>
    <w:rsid w:val="00E26E16"/>
    <w:rsid w:val="00E34E6F"/>
    <w:rsid w:val="00E64212"/>
    <w:rsid w:val="00E85AED"/>
    <w:rsid w:val="00EE2517"/>
    <w:rsid w:val="00EF3E79"/>
    <w:rsid w:val="00F06E49"/>
    <w:rsid w:val="00F11EE6"/>
    <w:rsid w:val="00F820E0"/>
    <w:rsid w:val="00FB70EB"/>
    <w:rsid w:val="00FC4CC9"/>
    <w:rsid w:val="00FD5F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9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5991"/>
    <w:pPr>
      <w:ind w:left="720"/>
      <w:contextualSpacing/>
    </w:pPr>
  </w:style>
  <w:style w:type="paragraph" w:styleId="Textedebulles">
    <w:name w:val="Balloon Text"/>
    <w:basedOn w:val="Normal"/>
    <w:link w:val="TextedebullesCar"/>
    <w:uiPriority w:val="99"/>
    <w:semiHidden/>
    <w:unhideWhenUsed/>
    <w:rsid w:val="00754C3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4C34"/>
    <w:rPr>
      <w:rFonts w:ascii="Lucida Grande" w:hAnsi="Lucida Grande" w:cs="Lucida Grande"/>
      <w:sz w:val="18"/>
      <w:szCs w:val="18"/>
    </w:rPr>
  </w:style>
  <w:style w:type="paragraph" w:styleId="En-tte">
    <w:name w:val="header"/>
    <w:basedOn w:val="Normal"/>
    <w:link w:val="En-tteCar"/>
    <w:uiPriority w:val="99"/>
    <w:unhideWhenUsed/>
    <w:rsid w:val="00445A91"/>
    <w:pPr>
      <w:tabs>
        <w:tab w:val="center" w:pos="4536"/>
        <w:tab w:val="right" w:pos="9072"/>
      </w:tabs>
    </w:pPr>
  </w:style>
  <w:style w:type="character" w:customStyle="1" w:styleId="En-tteCar">
    <w:name w:val="En-tête Car"/>
    <w:basedOn w:val="Policepardfaut"/>
    <w:link w:val="En-tte"/>
    <w:uiPriority w:val="99"/>
    <w:rsid w:val="00445A91"/>
  </w:style>
  <w:style w:type="paragraph" w:styleId="Pieddepage">
    <w:name w:val="footer"/>
    <w:basedOn w:val="Normal"/>
    <w:link w:val="PieddepageCar"/>
    <w:uiPriority w:val="99"/>
    <w:unhideWhenUsed/>
    <w:rsid w:val="00445A91"/>
    <w:pPr>
      <w:tabs>
        <w:tab w:val="center" w:pos="4536"/>
        <w:tab w:val="right" w:pos="9072"/>
      </w:tabs>
    </w:pPr>
  </w:style>
  <w:style w:type="character" w:customStyle="1" w:styleId="PieddepageCar">
    <w:name w:val="Pied de page Car"/>
    <w:basedOn w:val="Policepardfaut"/>
    <w:link w:val="Pieddepage"/>
    <w:uiPriority w:val="99"/>
    <w:rsid w:val="00445A91"/>
  </w:style>
  <w:style w:type="character" w:styleId="Lienhypertexte">
    <w:name w:val="Hyperlink"/>
    <w:basedOn w:val="Policepardfaut"/>
    <w:uiPriority w:val="99"/>
    <w:unhideWhenUsed/>
    <w:rsid w:val="00AC02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5991"/>
    <w:pPr>
      <w:ind w:left="720"/>
      <w:contextualSpacing/>
    </w:pPr>
  </w:style>
  <w:style w:type="paragraph" w:styleId="Textedebulles">
    <w:name w:val="Balloon Text"/>
    <w:basedOn w:val="Normal"/>
    <w:link w:val="TextedebullesCar"/>
    <w:uiPriority w:val="99"/>
    <w:semiHidden/>
    <w:unhideWhenUsed/>
    <w:rsid w:val="00754C3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4C34"/>
    <w:rPr>
      <w:rFonts w:ascii="Lucida Grande" w:hAnsi="Lucida Grande" w:cs="Lucida Grande"/>
      <w:sz w:val="18"/>
      <w:szCs w:val="18"/>
    </w:rPr>
  </w:style>
  <w:style w:type="paragraph" w:styleId="En-tte">
    <w:name w:val="header"/>
    <w:basedOn w:val="Normal"/>
    <w:link w:val="En-tteCar"/>
    <w:uiPriority w:val="99"/>
    <w:unhideWhenUsed/>
    <w:rsid w:val="00445A91"/>
    <w:pPr>
      <w:tabs>
        <w:tab w:val="center" w:pos="4536"/>
        <w:tab w:val="right" w:pos="9072"/>
      </w:tabs>
    </w:pPr>
  </w:style>
  <w:style w:type="character" w:customStyle="1" w:styleId="En-tteCar">
    <w:name w:val="En-tête Car"/>
    <w:basedOn w:val="Policepardfaut"/>
    <w:link w:val="En-tte"/>
    <w:uiPriority w:val="99"/>
    <w:rsid w:val="00445A91"/>
  </w:style>
  <w:style w:type="paragraph" w:styleId="Pieddepage">
    <w:name w:val="footer"/>
    <w:basedOn w:val="Normal"/>
    <w:link w:val="PieddepageCar"/>
    <w:uiPriority w:val="99"/>
    <w:unhideWhenUsed/>
    <w:rsid w:val="00445A91"/>
    <w:pPr>
      <w:tabs>
        <w:tab w:val="center" w:pos="4536"/>
        <w:tab w:val="right" w:pos="9072"/>
      </w:tabs>
    </w:pPr>
  </w:style>
  <w:style w:type="character" w:customStyle="1" w:styleId="PieddepageCar">
    <w:name w:val="Pied de page Car"/>
    <w:basedOn w:val="Policepardfaut"/>
    <w:link w:val="Pieddepage"/>
    <w:uiPriority w:val="99"/>
    <w:rsid w:val="00445A91"/>
  </w:style>
  <w:style w:type="character" w:styleId="Lienhypertexte">
    <w:name w:val="Hyperlink"/>
    <w:basedOn w:val="Policepardfaut"/>
    <w:uiPriority w:val="99"/>
    <w:unhideWhenUsed/>
    <w:rsid w:val="00AC02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516438">
      <w:bodyDiv w:val="1"/>
      <w:marLeft w:val="0"/>
      <w:marRight w:val="0"/>
      <w:marTop w:val="0"/>
      <w:marBottom w:val="0"/>
      <w:divBdr>
        <w:top w:val="none" w:sz="0" w:space="0" w:color="auto"/>
        <w:left w:val="none" w:sz="0" w:space="0" w:color="auto"/>
        <w:bottom w:val="none" w:sz="0" w:space="0" w:color="auto"/>
        <w:right w:val="none" w:sz="0" w:space="0" w:color="auto"/>
      </w:divBdr>
    </w:div>
    <w:div w:id="638845433">
      <w:bodyDiv w:val="1"/>
      <w:marLeft w:val="0"/>
      <w:marRight w:val="0"/>
      <w:marTop w:val="0"/>
      <w:marBottom w:val="0"/>
      <w:divBdr>
        <w:top w:val="none" w:sz="0" w:space="0" w:color="auto"/>
        <w:left w:val="none" w:sz="0" w:space="0" w:color="auto"/>
        <w:bottom w:val="none" w:sz="0" w:space="0" w:color="auto"/>
        <w:right w:val="none" w:sz="0" w:space="0" w:color="auto"/>
      </w:divBdr>
    </w:div>
    <w:div w:id="947204499">
      <w:bodyDiv w:val="1"/>
      <w:marLeft w:val="0"/>
      <w:marRight w:val="0"/>
      <w:marTop w:val="0"/>
      <w:marBottom w:val="0"/>
      <w:divBdr>
        <w:top w:val="none" w:sz="0" w:space="0" w:color="auto"/>
        <w:left w:val="none" w:sz="0" w:space="0" w:color="auto"/>
        <w:bottom w:val="none" w:sz="0" w:space="0" w:color="auto"/>
        <w:right w:val="none" w:sz="0" w:space="0" w:color="auto"/>
      </w:divBdr>
    </w:div>
    <w:div w:id="956638931">
      <w:bodyDiv w:val="1"/>
      <w:marLeft w:val="0"/>
      <w:marRight w:val="0"/>
      <w:marTop w:val="0"/>
      <w:marBottom w:val="0"/>
      <w:divBdr>
        <w:top w:val="none" w:sz="0" w:space="0" w:color="auto"/>
        <w:left w:val="none" w:sz="0" w:space="0" w:color="auto"/>
        <w:bottom w:val="none" w:sz="0" w:space="0" w:color="auto"/>
        <w:right w:val="none" w:sz="0" w:space="0" w:color="auto"/>
      </w:divBdr>
    </w:div>
    <w:div w:id="1823423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eline.vallot@curie.fr" TargetMode="External"/><Relationship Id="rId8" Type="http://schemas.openxmlformats.org/officeDocument/2006/relationships/hyperlink" Target="mailto:eric.letouze@inserm.fr)" TargetMode="Externa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1418</Words>
  <Characters>7799</Characters>
  <Application>Microsoft Macintosh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INSERM</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Letouzé</dc:creator>
  <cp:keywords/>
  <dc:description/>
  <cp:lastModifiedBy>Eric Letouzé</cp:lastModifiedBy>
  <cp:revision>57</cp:revision>
  <dcterms:created xsi:type="dcterms:W3CDTF">2016-10-26T14:33:00Z</dcterms:created>
  <dcterms:modified xsi:type="dcterms:W3CDTF">2018-10-04T14:38:00Z</dcterms:modified>
</cp:coreProperties>
</file>