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RESEARCH ETHICS REVIEW CHECKLIST FOR UG AND PGT STUDENTS</w:t>
      </w:r>
    </w:p>
    <w:p w:rsidR="00000000" w:rsidDel="00000000" w:rsidP="00000000" w:rsidRDefault="00000000" w:rsidRPr="00000000" w14:paraId="00000002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The University Research Ethics &amp; Governance Framework applies to all aspects of research undertaken within the University, including research undertaken by undergraduate and postgraduate students as a part of their dissertation, thesis or coursework. All UG students and PGT students therefore should consider the ethical dimensions of their research using the self-assessment checklist below and, where necessary, seek ethical review and approval.</w:t>
      </w:r>
    </w:p>
    <w:p w:rsidR="00000000" w:rsidDel="00000000" w:rsidP="00000000" w:rsidRDefault="00000000" w:rsidRPr="00000000" w14:paraId="00000003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Ethical review must be sought for any project that answers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to any one or more of the questions on this page: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76900" cy="370853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12313" y="3608550"/>
                          <a:ext cx="56673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Applicant Name: Fr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aser McCarter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76900" cy="370853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3708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76900" cy="357751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12313" y="3608550"/>
                          <a:ext cx="56673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Programme of Study: MA in Computing Science and Music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76900" cy="35775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357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676900" cy="417214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12313" y="3608550"/>
                          <a:ext cx="56673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Project Title: Prototyping a Python-Based Engine for Music Scripting and Algorithmic Composition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76900" cy="417214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76900" cy="41721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108" w:tblpY="1"/>
        <w:tblW w:w="890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75"/>
        <w:gridCol w:w="1133"/>
        <w:tblGridChange w:id="0">
          <w:tblGrid>
            <w:gridCol w:w="7775"/>
            <w:gridCol w:w="1133"/>
          </w:tblGrid>
        </w:tblGridChange>
      </w:tblGrid>
      <w:tr>
        <w:trPr>
          <w:cantSplit w:val="0"/>
          <w:trHeight w:val="305" w:hRule="atLeast"/>
          <w:tblHeader w:val="1"/>
        </w:trPr>
        <w:tc>
          <w:tcPr>
            <w:vAlign w:val="bottom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D">
            <w:pPr>
              <w:tabs>
                <w:tab w:val="center" w:leader="none" w:pos="781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YES/NO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Does the project involve human participants?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Does the project involve personal data?  </w:t>
            </w:r>
          </w:p>
          <w:p w:rsidR="00000000" w:rsidDel="00000000" w:rsidP="00000000" w:rsidRDefault="00000000" w:rsidRPr="00000000" w14:paraId="00000011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If YES, is the personal data from an existing dataset?</w:t>
            </w:r>
          </w:p>
          <w:p w:rsidR="00000000" w:rsidDel="00000000" w:rsidP="00000000" w:rsidRDefault="00000000" w:rsidRPr="00000000" w14:paraId="00000012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If YES,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did the participants who originally provided the data give permission for it to be used in further research?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 the dataset publicly available?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Does the project involve human remains?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Does the project involve surveys or questionnaires?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Will the participants of the project include staff or students of the University, or colleagues or clients in a work environment?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Does the project involve children (under 18 years) or vulnerable adults?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Does the project involve any clinical procedure or involve clinical populations?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Does the research have the potential to cause distress or discomfort to participants or any member of the research team?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Does the project involve the collection of material that could be considered of a sensitive personal, medical or psychological nature, or is restricted/constrained by other data protection requirements?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Does the project involve concealment or deception or deliberately misleading participants?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Does the project involve face-to-face interviews or the collection, preservation or use of sound and/or video material involving human participants?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Does the project involve collecting personal data from websites or from social media (e.g., Facebook, Twitter)?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Is there any potential for conflict of interest between research funder, investigators and/or participants that may affect funding, dissemination or other research outcomes?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Could the project lead to financial gain for funders, investigators or participants?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60" w:before="6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Does the project have the potential to cause environmental damage or harm?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This includes the natural environment but also buildings and structures created by people, especially ones of historical or archaeological importance.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Does the project give rise to a realistic risk to the national security of any country?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left="44" w:firstLine="0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ind w:left="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ind w:left="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left="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left="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ind w:left="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ind w:left="3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34" w:firstLine="0"/>
        <w:rPr/>
      </w:pPr>
      <w:r w:rsidDel="00000000" w:rsidR="00000000" w:rsidRPr="00000000">
        <w:rPr>
          <w:rtl w:val="0"/>
        </w:rPr>
        <w:t xml:space="preserve">Please note: Research involving the collection of genetic resources (organisms, microorganisms, DNA, RNA, proteins, small molecules) from signatories to the Convention on Biodiversity/Nagoya Protocol requires a formal agreement to be in place before this research can begin. Please consult </w:t>
      </w:r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information on the Nagoya protocol</w:t>
        </w:r>
      </w:hyperlink>
      <w:r w:rsidDel="00000000" w:rsidR="00000000" w:rsidRPr="00000000">
        <w:rPr>
          <w:rtl w:val="0"/>
        </w:rPr>
        <w:t xml:space="preserve"> and/or contact </w:t>
      </w:r>
      <w:hyperlink r:id="rId8">
        <w:r w:rsidDel="00000000" w:rsidR="00000000" w:rsidRPr="00000000">
          <w:rPr>
            <w:color w:val="0000ff"/>
            <w:u w:val="single"/>
            <w:rtl w:val="0"/>
          </w:rPr>
          <w:t xml:space="preserve">nagoyaprotocol@abdn.ac.uk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CONFIRMATION BY APPLICANTS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(and all members of the research team, where this is a group project) have completed the University’s mandatory 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online Research Ethics &amp; Governance training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  <w:tab/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YES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NOTE: For UG and PGT students, completion of this training course will be at the discretion of the Programme/Course Coordinator.  This is not a mandatory requirement for ethical approval of UG or PGT research.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confirm that I have discussed this checklist with my supervisor.</w:t>
        <w:tab/>
      </w:r>
      <w:r w:rsidDel="00000000" w:rsidR="00000000" w:rsidRPr="00000000">
        <w:rPr>
          <w:b w:val="1"/>
          <w:bCs w:val="1"/>
          <w:color w:val="001d35"/>
          <w:sz w:val="24"/>
          <w:szCs w:val="24"/>
          <w:highlight w:val="white"/>
          <w:rtl w:val="0"/>
        </w:rPr>
        <w:t xml:space="preserve">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</w:t>
        <w:tab/>
        <w:tab/>
        <w:t xml:space="preserve">___________________________</w:t>
        <w:tab/>
        <w:tab/>
        <w:t xml:space="preserve">______________</w:t>
        <w:tab/>
      </w:r>
    </w:p>
    <w:p w:rsidR="00000000" w:rsidDel="00000000" w:rsidP="00000000" w:rsidRDefault="00000000" w:rsidRPr="00000000" w14:paraId="0000004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Supervisor’s Name</w:t>
        <w:tab/>
        <w:tab/>
        <w:tab/>
        <w:t xml:space="preserve">Supervisor’s Signature</w:t>
        <w:tab/>
        <w:tab/>
        <w:tab/>
        <w:tab/>
        <w:t xml:space="preserve">Date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understand that if during my project the answers to any of the above questions change, I must complete a new checklist (and seek further ethical review if necessary).</w:t>
        <w:tab/>
        <w:tab/>
        <w:tab/>
      </w:r>
      <w:r w:rsidDel="00000000" w:rsidR="00000000" w:rsidRPr="00000000">
        <w:rPr>
          <w:b w:val="1"/>
          <w:bCs w:val="1"/>
          <w:color w:val="001d35"/>
          <w:sz w:val="24"/>
          <w:szCs w:val="24"/>
          <w:highlight w:val="white"/>
          <w:rtl w:val="0"/>
        </w:rPr>
        <w:t xml:space="preserve">☑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ethical review is required for your research project, please refer to the ethical review procedures outlined in your Project Guidelines or contact your Course / Programme Coordinator for further advice. You should attach your completed Annex A and any other supporting documentation to your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ethical review is NOT required for your project, it is recommended that you retain the completed Annex A checklist with your research records in the event of any future queries.</w:t>
      </w:r>
    </w:p>
    <w:sectPr>
      <w:headerReference r:id="rId10" w:type="default"/>
      <w:footerReference r:id="rId11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br w:type="textWrapping"/>
      <w:t xml:space="preserve">November 2024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ert3mbogaly8" w:id="0"/>
    <w:bookmarkEnd w:id="0"/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PSEEB Standard Operating Procedure – Annex A</w:t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20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394" w:hanging="360"/>
      </w:pPr>
      <w:rPr/>
    </w:lvl>
    <w:lvl w:ilvl="1">
      <w:start w:val="1"/>
      <w:numFmt w:val="lowerLetter"/>
      <w:lvlText w:val="%2."/>
      <w:lvlJc w:val="left"/>
      <w:pPr>
        <w:ind w:left="1114" w:hanging="360"/>
      </w:pPr>
      <w:rPr/>
    </w:lvl>
    <w:lvl w:ilvl="2">
      <w:start w:val="1"/>
      <w:numFmt w:val="lowerRoman"/>
      <w:lvlText w:val="%3."/>
      <w:lvlJc w:val="right"/>
      <w:pPr>
        <w:ind w:left="1834" w:hanging="180"/>
      </w:pPr>
      <w:rPr/>
    </w:lvl>
    <w:lvl w:ilvl="3">
      <w:start w:val="1"/>
      <w:numFmt w:val="decimal"/>
      <w:lvlText w:val="%4."/>
      <w:lvlJc w:val="left"/>
      <w:pPr>
        <w:ind w:left="2554" w:hanging="360"/>
      </w:pPr>
      <w:rPr/>
    </w:lvl>
    <w:lvl w:ilvl="4">
      <w:start w:val="1"/>
      <w:numFmt w:val="lowerLetter"/>
      <w:lvlText w:val="%5."/>
      <w:lvlJc w:val="left"/>
      <w:pPr>
        <w:ind w:left="3274" w:hanging="360"/>
      </w:pPr>
      <w:rPr/>
    </w:lvl>
    <w:lvl w:ilvl="5">
      <w:start w:val="1"/>
      <w:numFmt w:val="lowerRoman"/>
      <w:lvlText w:val="%6."/>
      <w:lvlJc w:val="right"/>
      <w:pPr>
        <w:ind w:left="3994" w:hanging="180"/>
      </w:pPr>
      <w:rPr/>
    </w:lvl>
    <w:lvl w:ilvl="6">
      <w:start w:val="1"/>
      <w:numFmt w:val="decimal"/>
      <w:lvlText w:val="%7."/>
      <w:lvlJc w:val="left"/>
      <w:pPr>
        <w:ind w:left="4714" w:hanging="360"/>
      </w:pPr>
      <w:rPr/>
    </w:lvl>
    <w:lvl w:ilvl="7">
      <w:start w:val="1"/>
      <w:numFmt w:val="lowerLetter"/>
      <w:lvlText w:val="%8."/>
      <w:lvlJc w:val="left"/>
      <w:pPr>
        <w:ind w:left="5434" w:hanging="360"/>
      </w:pPr>
      <w:rPr/>
    </w:lvl>
    <w:lvl w:ilvl="8">
      <w:start w:val="1"/>
      <w:numFmt w:val="lowerRoman"/>
      <w:lvlText w:val="%9."/>
      <w:lvlJc w:val="right"/>
      <w:pPr>
        <w:ind w:left="615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line="240" w:lineRule="auto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jc w:val="both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www.abdn.ac.uk/staffnet/research/research-governance-304.php#panel6321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abdn.ac.uk/staffnet/research/nagoya-protocol-10646.php" TargetMode="External"/><Relationship Id="rId8" Type="http://schemas.openxmlformats.org/officeDocument/2006/relationships/hyperlink" Target="mailto:nagoyaprotocol@abdn.ac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</Properties>
</file>