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bsorptive_capacity_access_and_co_bd53fc"/>
      <w:r>
        <w:rPr>
          <w:rFonts w:eastAsia="source serif 4" w:cs="source serif 4" w:ascii="source serif 4" w:hAnsi="source serif 4"/>
          <w:b/>
          <w:color w:val="000000"/>
          <w:sz w:val="39"/>
        </w:rPr>
        <w:t xml:space="preserve">Absorptive Capacity, Access, and Constellations of AI Capability</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Capacity to benefit from artificial intelligence (AI) is often treated as a single variable—a stock of skills, infrastructure, or institutional strength that can be increased through training and investment. This report argues that capacity is best understood as a constellation of diverse dimensions, among which absorptive capacity plays a central but intermediary role. Access to AI (models, data, infrastructure) is a necessary precondition, yet absorptive capacity—understood as the ability to recognize, assimilate, and apply external knowledge—is not the ultimate goal. The overarching objective is to build ecosystems that can generate, govern, and sustain pluriversal AI trajectories aligned with local values and development aspirations.[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6][^7]</w:t>
      </w:r>
    </w:p>
    <w:p>
      <w:pPr>
        <w:spacing w:line="360" w:after="210" w:lineRule="auto"/>
      </w:pPr>
      <w:r>
        <w:rPr>
          <w:rFonts w:eastAsia="source serif 4" w:cs="source serif 4" w:ascii="source serif 4" w:hAnsi="source serif 4"/>
          <w:color w:val="000000"/>
        </w:rPr>
        <w:t xml:space="preserve">The report begins by clearly positioning the key dimensions of AI capacity: access, absorptive capacity, indigenous and generative capabilities, institutional and safeguarding capacities, and digital public infrastructures. It then examines absorptive capacity in depth, including recent extensions in the age of AI, before showing why focusing solely on absorption risks narrowing the space for indigenous creation and pluriversal pathways.</w:t>
      </w:r>
    </w:p>
    <w:p>
      <w:pPr>
        <w:spacing w:line="360" w:before="315" w:after="105" w:lineRule="auto"/>
        <w:ind w:left="-30"/>
        <w:jc w:val="left"/>
      </w:pPr>
      <w:bookmarkStart w:id="2" w:name="core_dimensions_of_ai_capacity"/>
      <w:r>
        <w:rPr>
          <w:rFonts w:eastAsia="source serif 4" w:cs="source serif 4" w:ascii="source serif 4" w:hAnsi="source serif 4"/>
          <w:b/>
          <w:color w:val="000000"/>
          <w:sz w:val="24"/>
        </w:rPr>
        <w:t xml:space="preserve">Core Dimensions of AI Capacity</w:t>
      </w:r>
      <w:bookmarkEnd w:id="2"/>
    </w:p>
    <w:p>
      <w:pPr>
        <w:spacing w:line="360" w:before="315" w:after="105" w:lineRule="auto"/>
        <w:ind w:left="-30"/>
        <w:jc w:val="left"/>
      </w:pPr>
      <w:bookmarkStart w:id="3" w:name="access_to_ai_resources"/>
      <w:r>
        <w:rPr>
          <w:rFonts w:eastAsia="source serif 4" w:cs="source serif 4" w:ascii="source serif 4" w:hAnsi="source serif 4"/>
          <w:b/>
          <w:color w:val="000000"/>
          <w:sz w:val="24"/>
        </w:rPr>
        <w:t xml:space="preserve">Access to AI Resources</w:t>
      </w:r>
      <w:bookmarkEnd w:id="3"/>
    </w:p>
    <w:p>
      <w:pPr>
        <w:spacing w:line="360" w:after="210" w:lineRule="auto"/>
      </w:pPr>
      <w:r>
        <w:rPr>
          <w:rFonts w:eastAsia="source serif 4" w:cs="source serif 4" w:ascii="source serif 4" w:hAnsi="source serif 4"/>
          <w:color w:val="000000"/>
        </w:rPr>
        <w:t xml:space="preserve">The most basic dimension of AI capacity is access: connectivity, compute, data, models, and platforms. Without physical and digital access, no further capacity can be exercised. Access comprises:[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8]</w:t>
      </w:r>
    </w:p>
    <w:p>
      <w:pPr>
        <w:numPr>
          <w:ilvl w:val="0"/>
          <w:numId w:val="1"/>
        </w:numPr>
        <w:spacing w:line="360" w:before="105" w:after="105" w:lineRule="auto"/>
      </w:pPr>
      <w:r>
        <w:rPr>
          <w:rFonts w:eastAsia="source serif 4" w:cs="source serif 4" w:ascii="source serif 4" w:hAnsi="source serif 4"/>
          <w:b/>
          <w:color w:val="000000"/>
          <w:sz w:val="21"/>
        </w:rPr>
        <w:t xml:space="preserve">Connectivity and hardware.</w:t>
      </w:r>
      <w:r>
        <w:rPr>
          <w:rFonts w:eastAsia="source serif 4" w:cs="source serif 4" w:ascii="source serif 4" w:hAnsi="source serif 4"/>
          <w:color w:val="000000"/>
          <w:sz w:val="21"/>
        </w:rPr>
        <w:t xml:space="preserve"> Broadband networks, devices, and data centers enabling interaction with AI systems.[^3]</w:t>
      </w:r>
    </w:p>
    <w:p>
      <w:pPr>
        <w:numPr>
          <w:ilvl w:val="0"/>
          <w:numId w:val="1"/>
        </w:numPr>
        <w:spacing w:line="360" w:before="105" w:after="105" w:lineRule="auto"/>
      </w:pPr>
      <w:r>
        <w:rPr>
          <w:rFonts w:eastAsia="source serif 4" w:cs="source serif 4" w:ascii="source serif 4" w:hAnsi="source serif 4"/>
          <w:b/>
          <w:color w:val="000000"/>
          <w:sz w:val="21"/>
        </w:rPr>
        <w:t xml:space="preserve">Models and tools.</w:t>
      </w:r>
      <w:r>
        <w:rPr>
          <w:rFonts w:eastAsia="source serif 4" w:cs="source serif 4" w:ascii="source serif 4" w:hAnsi="source serif 4"/>
          <w:color w:val="000000"/>
          <w:sz w:val="21"/>
        </w:rPr>
        <w:t xml:space="preserve"> Availability of AI models via APIs, open source repositories, or licensed platforms.[</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1"/>
        </w:numPr>
        <w:spacing w:line="360" w:before="105" w:after="105" w:lineRule="auto"/>
      </w:pPr>
      <w:r>
        <w:rPr>
          <w:rFonts w:eastAsia="source serif 4" w:cs="source serif 4" w:ascii="source serif 4" w:hAnsi="source serif 4"/>
          <w:b/>
          <w:color w:val="000000"/>
          <w:sz w:val="21"/>
        </w:rPr>
        <w:t xml:space="preserve">Data.</w:t>
      </w:r>
      <w:r>
        <w:rPr>
          <w:rFonts w:eastAsia="source serif 4" w:cs="source serif 4" w:ascii="source serif 4" w:hAnsi="source serif 4"/>
          <w:color w:val="000000"/>
          <w:sz w:val="21"/>
        </w:rPr>
        <w:t xml:space="preserve"> Existence of relevant, high‑quality datasets, including local languages and contexts, governed by appropriate legal and ethical frameworks.[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7]</w:t>
      </w:r>
    </w:p>
    <w:p>
      <w:pPr>
        <w:spacing w:line="360" w:after="210" w:lineRule="auto"/>
      </w:pPr>
      <w:r>
        <w:rPr>
          <w:rFonts w:eastAsia="source serif 4" w:cs="source serif 4" w:ascii="source serif 4" w:hAnsi="source serif 4"/>
          <w:color w:val="000000"/>
        </w:rPr>
        <w:t xml:space="preserve">Access reduces entry barriers and can partly counter concentration of AI capabilities in a few countries and firms. However, access alone does not ensure effective or equitable use. It is a necessary but insufficient condition for benefiting from AI.</w:t>
      </w:r>
    </w:p>
    <w:p>
      <w:pPr>
        <w:spacing w:line="360" w:before="315" w:after="105" w:lineRule="auto"/>
        <w:ind w:left="-30"/>
        <w:jc w:val="left"/>
      </w:pPr>
      <w:bookmarkStart w:id="4" w:name="absorptive_capacity"/>
      <w:r>
        <w:rPr>
          <w:rFonts w:eastAsia="source serif 4" w:cs="source serif 4" w:ascii="source serif 4" w:hAnsi="source serif 4"/>
          <w:b/>
          <w:color w:val="000000"/>
          <w:sz w:val="24"/>
        </w:rPr>
        <w:t xml:space="preserve">Absorptive Capacity</w:t>
      </w:r>
      <w:bookmarkEnd w:id="4"/>
    </w:p>
    <w:p>
      <w:pPr>
        <w:spacing w:line="360" w:after="210" w:lineRule="auto"/>
      </w:pPr>
      <w:r>
        <w:rPr>
          <w:rFonts w:eastAsia="source serif 4" w:cs="source serif 4" w:ascii="source serif 4" w:hAnsi="source serif 4"/>
          <w:color w:val="000000"/>
        </w:rPr>
        <w:t xml:space="preserve">Absorptive capacity is the ability of organizations and systems to recognize the value of external knowledge, assimilate it, and apply it to productive ends. In the AI context, absorptive capacity involves:[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10]</w:t>
      </w:r>
    </w:p>
    <w:p>
      <w:pPr>
        <w:numPr>
          <w:ilvl w:val="0"/>
          <w:numId w:val="2"/>
        </w:numPr>
        <w:spacing w:line="360" w:before="105" w:after="105" w:lineRule="auto"/>
      </w:pPr>
      <w:r>
        <w:rPr>
          <w:rFonts w:eastAsia="source serif 4" w:cs="source serif 4" w:ascii="source serif 4" w:hAnsi="source serif 4"/>
          <w:color w:val="000000"/>
          <w:sz w:val="21"/>
        </w:rPr>
        <w:t xml:space="preserve">Understanding which AI tools and approaches are relevant to local problems.</w:t>
      </w:r>
    </w:p>
    <w:p>
      <w:pPr>
        <w:numPr>
          <w:ilvl w:val="0"/>
          <w:numId w:val="2"/>
        </w:numPr>
        <w:spacing w:line="360" w:before="105" w:after="105" w:lineRule="auto"/>
      </w:pPr>
      <w:r>
        <w:rPr>
          <w:rFonts w:eastAsia="source serif 4" w:cs="source serif 4" w:ascii="source serif 4" w:hAnsi="source serif 4"/>
          <w:color w:val="000000"/>
          <w:sz w:val="21"/>
        </w:rPr>
        <w:t xml:space="preserve">Integrating external AI solutions into existing workflows, infrastructures, and institutions.</w:t>
      </w:r>
    </w:p>
    <w:p>
      <w:pPr>
        <w:numPr>
          <w:ilvl w:val="0"/>
          <w:numId w:val="2"/>
        </w:numPr>
        <w:spacing w:line="360" w:before="105" w:after="105" w:lineRule="auto"/>
      </w:pPr>
      <w:r>
        <w:rPr>
          <w:rFonts w:eastAsia="source serif 4" w:cs="source serif 4" w:ascii="source serif 4" w:hAnsi="source serif 4"/>
          <w:color w:val="000000"/>
          <w:sz w:val="21"/>
        </w:rPr>
        <w:t xml:space="preserve">Learning from deployment to refine and improve AI use over time.[</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w:t>
      </w:r>
    </w:p>
    <w:p>
      <w:pPr>
        <w:spacing w:line="360" w:after="210" w:lineRule="auto"/>
      </w:pPr>
      <w:r>
        <w:rPr>
          <w:rFonts w:eastAsia="source serif 4" w:cs="source serif 4" w:ascii="source serif 4" w:hAnsi="source serif 4"/>
          <w:color w:val="000000"/>
        </w:rPr>
        <w:t xml:space="preserve">Absorptive capacity depends heavily on prior related knowledge and organizational routines. Societies and organizations with histories of investment in R&amp;D, digital systems, and data practices are better positioned to absorb AI technologies. Absorption is thus a central dimension: it turns access into meaningful use. Yet, as argued below, it should be treated as an intermediary capability rather than the final objective.</w:t>
      </w:r>
    </w:p>
    <w:p>
      <w:pPr>
        <w:spacing w:line="360" w:before="315" w:after="105" w:lineRule="auto"/>
        <w:ind w:left="-30"/>
        <w:jc w:val="left"/>
      </w:pPr>
      <w:bookmarkStart w:id="5" w:name="indigenous_and_generative_capabilities"/>
      <w:r>
        <w:rPr>
          <w:rFonts w:eastAsia="source serif 4" w:cs="source serif 4" w:ascii="source serif 4" w:hAnsi="source serif 4"/>
          <w:b/>
          <w:color w:val="000000"/>
          <w:sz w:val="24"/>
        </w:rPr>
        <w:t xml:space="preserve">Indigenous and Generative Capabilities</w:t>
      </w:r>
      <w:bookmarkEnd w:id="5"/>
    </w:p>
    <w:p>
      <w:pPr>
        <w:spacing w:line="360" w:after="210" w:lineRule="auto"/>
      </w:pPr>
      <w:r>
        <w:rPr>
          <w:rFonts w:eastAsia="source serif 4" w:cs="source serif 4" w:ascii="source serif 4" w:hAnsi="source serif 4"/>
          <w:color w:val="000000"/>
        </w:rPr>
        <w:t xml:space="preserve">Beyond absorption lies the capacity to originate AI systems, practices, and governance models grounded in local values, knowledge systems, and development priorities. This generative dimension includes:</w:t>
      </w:r>
    </w:p>
    <w:p>
      <w:pPr>
        <w:numPr>
          <w:ilvl w:val="0"/>
          <w:numId w:val="3"/>
        </w:numPr>
        <w:spacing w:line="360" w:before="105" w:after="105" w:lineRule="auto"/>
      </w:pPr>
      <w:r>
        <w:rPr>
          <w:rFonts w:eastAsia="source serif 4" w:cs="source serif 4" w:ascii="source serif 4" w:hAnsi="source serif 4"/>
          <w:b/>
          <w:color w:val="000000"/>
          <w:sz w:val="21"/>
        </w:rPr>
        <w:t xml:space="preserve">Research and innovation capabilities.</w:t>
      </w:r>
      <w:r>
        <w:rPr>
          <w:rFonts w:eastAsia="source serif 4" w:cs="source serif 4" w:ascii="source serif 4" w:hAnsi="source serif 4"/>
          <w:color w:val="000000"/>
          <w:sz w:val="21"/>
        </w:rPr>
        <w:t xml:space="preserve"> Universities, research centers, and firms capable of developing new AI models and applications.[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7]</w:t>
      </w:r>
    </w:p>
    <w:p>
      <w:pPr>
        <w:numPr>
          <w:ilvl w:val="0"/>
          <w:numId w:val="3"/>
        </w:numPr>
        <w:spacing w:line="360" w:before="105" w:after="105" w:lineRule="auto"/>
      </w:pPr>
      <w:r>
        <w:rPr>
          <w:rFonts w:eastAsia="source serif 4" w:cs="source serif 4" w:ascii="source serif 4" w:hAnsi="source serif 4"/>
          <w:b/>
          <w:color w:val="000000"/>
          <w:sz w:val="21"/>
        </w:rPr>
        <w:t xml:space="preserve">Grassroots innovation.</w:t>
      </w:r>
      <w:r>
        <w:rPr>
          <w:rFonts w:eastAsia="source serif 4" w:cs="source serif 4" w:ascii="source serif 4" w:hAnsi="source serif 4"/>
          <w:color w:val="000000"/>
          <w:sz w:val="21"/>
        </w:rPr>
        <w:t xml:space="preserve"> Community‑led experimentation and co‑design that generate context‑specific digital solutions, as seen in agricultural adaptation and participatory irrigation management.[^5]</w:t>
      </w:r>
    </w:p>
    <w:p>
      <w:pPr>
        <w:numPr>
          <w:ilvl w:val="0"/>
          <w:numId w:val="3"/>
        </w:numPr>
        <w:spacing w:line="360" w:before="105" w:after="105" w:lineRule="auto"/>
      </w:pPr>
      <w:r>
        <w:rPr>
          <w:rFonts w:eastAsia="source serif 4" w:cs="source serif 4" w:ascii="source serif 4" w:hAnsi="source serif 4"/>
          <w:b/>
          <w:color w:val="000000"/>
          <w:sz w:val="21"/>
        </w:rPr>
        <w:t xml:space="preserve">Cultural and linguistic production.</w:t>
      </w:r>
      <w:r>
        <w:rPr>
          <w:rFonts w:eastAsia="source serif 4" w:cs="source serif 4" w:ascii="source serif 4" w:hAnsi="source serif 4"/>
          <w:color w:val="000000"/>
          <w:sz w:val="21"/>
        </w:rPr>
        <w:t xml:space="preserve"> Initiatives building AI tools in local languages and reflecting diverse cultural narratives.[^7]</w:t>
      </w:r>
    </w:p>
    <w:p>
      <w:pPr>
        <w:spacing w:line="360" w:after="210" w:lineRule="auto"/>
      </w:pPr>
      <w:r>
        <w:rPr>
          <w:rFonts w:eastAsia="source serif 4" w:cs="source serif 4" w:ascii="source serif 4" w:hAnsi="source serif 4"/>
          <w:color w:val="000000"/>
        </w:rPr>
        <w:t xml:space="preserve">Generative capabilities move AI capacity beyond receptivity to external technologies. They enable societies to become authors of their own AI trajectories.</w:t>
      </w:r>
    </w:p>
    <w:p>
      <w:pPr>
        <w:spacing w:line="360" w:before="315" w:after="105" w:lineRule="auto"/>
        <w:ind w:left="-30"/>
        <w:jc w:val="left"/>
      </w:pPr>
      <w:bookmarkStart w:id="6" w:name="institutional_and_safeguarding_ca_d865fb"/>
      <w:r>
        <w:rPr>
          <w:rFonts w:eastAsia="source serif 4" w:cs="source serif 4" w:ascii="source serif 4" w:hAnsi="source serif 4"/>
          <w:b/>
          <w:color w:val="000000"/>
          <w:sz w:val="24"/>
        </w:rPr>
        <w:t xml:space="preserve">Institutional and Safeguarding Capacities</w:t>
      </w:r>
      <w:bookmarkEnd w:id="6"/>
    </w:p>
    <w:p>
      <w:pPr>
        <w:spacing w:line="360" w:after="210" w:lineRule="auto"/>
      </w:pPr>
      <w:r>
        <w:rPr>
          <w:rFonts w:eastAsia="source serif 4" w:cs="source serif 4" w:ascii="source serif 4" w:hAnsi="source serif 4"/>
          <w:color w:val="000000"/>
        </w:rPr>
        <w:t xml:space="preserve">Institutions play a decisive role in translating access and absorption into just and sustainable outcomes. Institutional and safeguarding capacities encompass:</w:t>
      </w:r>
    </w:p>
    <w:p>
      <w:pPr>
        <w:numPr>
          <w:ilvl w:val="0"/>
          <w:numId w:val="4"/>
        </w:numPr>
        <w:spacing w:line="360" w:before="105" w:after="105" w:lineRule="auto"/>
      </w:pPr>
      <w:r>
        <w:rPr>
          <w:rFonts w:eastAsia="source serif 4" w:cs="source serif 4" w:ascii="source serif 4" w:hAnsi="source serif 4"/>
          <w:b/>
          <w:color w:val="000000"/>
          <w:sz w:val="21"/>
        </w:rPr>
        <w:t xml:space="preserve">Policy design and coordination.</w:t>
      </w:r>
      <w:r>
        <w:rPr>
          <w:rFonts w:eastAsia="source serif 4" w:cs="source serif 4" w:ascii="source serif 4" w:hAnsi="source serif 4"/>
          <w:color w:val="000000"/>
          <w:sz w:val="21"/>
        </w:rPr>
        <w:t xml:space="preserve"> Ministries and agencies able to craft AI strategies, standards, and regulations, and to coordinate implementation across sectors.[</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3]</w:t>
      </w:r>
    </w:p>
    <w:p>
      <w:pPr>
        <w:numPr>
          <w:ilvl w:val="0"/>
          <w:numId w:val="4"/>
        </w:numPr>
        <w:spacing w:line="360" w:before="105" w:after="105" w:lineRule="auto"/>
      </w:pPr>
      <w:r>
        <w:rPr>
          <w:rFonts w:eastAsia="source serif 4" w:cs="source serif 4" w:ascii="source serif 4" w:hAnsi="source serif 4"/>
          <w:b/>
          <w:color w:val="000000"/>
          <w:sz w:val="21"/>
        </w:rPr>
        <w:t xml:space="preserve">Regulation and enforcement.</w:t>
      </w:r>
      <w:r>
        <w:rPr>
          <w:rFonts w:eastAsia="source serif 4" w:cs="source serif 4" w:ascii="source serif 4" w:hAnsi="source serif 4"/>
          <w:color w:val="000000"/>
          <w:sz w:val="21"/>
        </w:rPr>
        <w:t xml:space="preserve"> Bodies overseeing data governance, algorithmic accountability, and rights protections.[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3]</w:t>
      </w:r>
    </w:p>
    <w:p>
      <w:pPr>
        <w:numPr>
          <w:ilvl w:val="0"/>
          <w:numId w:val="4"/>
        </w:numPr>
        <w:spacing w:line="360" w:before="105" w:after="105" w:lineRule="auto"/>
      </w:pPr>
      <w:r>
        <w:rPr>
          <w:rFonts w:eastAsia="source serif 4" w:cs="source serif 4" w:ascii="source serif 4" w:hAnsi="source serif 4"/>
          <w:b/>
          <w:color w:val="000000"/>
          <w:sz w:val="21"/>
        </w:rPr>
        <w:t xml:space="preserve">Social safeguards.</w:t>
      </w:r>
      <w:r>
        <w:rPr>
          <w:rFonts w:eastAsia="source serif 4" w:cs="source serif 4" w:ascii="source serif 4" w:hAnsi="source serif 4"/>
          <w:color w:val="000000"/>
          <w:sz w:val="21"/>
        </w:rPr>
        <w:t xml:space="preserve"> Participatory mechanisms, social impact assessment frameworks, and independent oversight institutions that protect marginalized groups and enable contestation.[</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color w:val="000000"/>
        </w:rPr>
        <w:t xml:space="preserve">These capacities ensure that AI deployments do not exacerbate inequalities, but instead contribute to inclusive and rights‑respecting development.</w:t>
      </w:r>
    </w:p>
    <w:p>
      <w:pPr>
        <w:spacing w:line="360" w:before="315" w:after="105" w:lineRule="auto"/>
        <w:ind w:left="-30"/>
        <w:jc w:val="left"/>
      </w:pPr>
      <w:bookmarkStart w:id="7" w:name="digital_public_infrastructure_and_1d7862"/>
      <w:r>
        <w:rPr>
          <w:rFonts w:eastAsia="source serif 4" w:cs="source serif 4" w:ascii="source serif 4" w:hAnsi="source serif 4"/>
          <w:b/>
          <w:color w:val="000000"/>
          <w:sz w:val="24"/>
        </w:rPr>
        <w:t xml:space="preserve">Digital Public Infrastructure and Data Ecosystems</w:t>
      </w:r>
      <w:bookmarkEnd w:id="7"/>
    </w:p>
    <w:p>
      <w:pPr>
        <w:spacing w:line="360" w:after="210" w:lineRule="auto"/>
      </w:pPr>
      <w:r>
        <w:rPr>
          <w:rFonts w:eastAsia="source serif 4" w:cs="source serif 4" w:ascii="source serif 4" w:hAnsi="source serif 4"/>
          <w:color w:val="000000"/>
        </w:rPr>
        <w:t xml:space="preserve">Digital public infrastructure (DPI) and data ecosystems constitute the substrate on which AI systems operate. DPI includes digital ID systems, payment platforms, health records, and connectivity infrastructures. Data ecosystems involve:[</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4]</w:t>
      </w:r>
    </w:p>
    <w:p>
      <w:pPr>
        <w:numPr>
          <w:ilvl w:val="0"/>
          <w:numId w:val="5"/>
        </w:numPr>
        <w:spacing w:line="360" w:before="105" w:after="105" w:lineRule="auto"/>
      </w:pPr>
      <w:r>
        <w:rPr>
          <w:rFonts w:eastAsia="source serif 4" w:cs="source serif 4" w:ascii="source serif 4" w:hAnsi="source serif 4"/>
          <w:color w:val="000000"/>
          <w:sz w:val="21"/>
        </w:rPr>
        <w:t xml:space="preserve">Institutions responsible for data stewardship and protection.</w:t>
      </w:r>
    </w:p>
    <w:p>
      <w:pPr>
        <w:numPr>
          <w:ilvl w:val="0"/>
          <w:numId w:val="5"/>
        </w:numPr>
        <w:spacing w:line="360" w:before="105" w:after="105" w:lineRule="auto"/>
      </w:pPr>
      <w:r>
        <w:rPr>
          <w:rFonts w:eastAsia="source serif 4" w:cs="source serif 4" w:ascii="source serif 4" w:hAnsi="source serif 4"/>
          <w:color w:val="000000"/>
          <w:sz w:val="21"/>
        </w:rPr>
        <w:t xml:space="preserve">Norms and practices governing consent, sharing, and reuse.</w:t>
      </w:r>
    </w:p>
    <w:p>
      <w:pPr>
        <w:numPr>
          <w:ilvl w:val="0"/>
          <w:numId w:val="5"/>
        </w:numPr>
        <w:spacing w:line="360" w:before="105" w:after="105" w:lineRule="auto"/>
      </w:pPr>
      <w:r>
        <w:rPr>
          <w:rFonts w:eastAsia="source serif 4" w:cs="source serif 4" w:ascii="source serif 4" w:hAnsi="source serif 4"/>
          <w:color w:val="000000"/>
          <w:sz w:val="21"/>
        </w:rPr>
        <w:t xml:space="preserve">Technical capabilities for data quality, anonymization, and interoperability.[</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3][^4]</w:t>
      </w:r>
    </w:p>
    <w:p>
      <w:pPr>
        <w:spacing w:line="360" w:after="210" w:lineRule="auto"/>
      </w:pPr>
      <w:r>
        <w:rPr>
          <w:rFonts w:eastAsia="source serif 4" w:cs="source serif 4" w:ascii="source serif 4" w:hAnsi="source serif 4"/>
          <w:color w:val="000000"/>
        </w:rPr>
        <w:t xml:space="preserve">Robust DPI and data ecosystems amplify both absorptive and generative capacities by providing stable, inclusive platforms for AI services and innovation. Weak infrastructures undermine the ability to benefit from AI regardless of access.</w:t>
      </w:r>
    </w:p>
    <w:p>
      <w:pPr>
        <w:spacing w:line="360" w:before="315" w:after="105" w:lineRule="auto"/>
        <w:ind w:left="-30"/>
        <w:jc w:val="left"/>
      </w:pPr>
      <w:bookmarkStart w:id="8" w:name="absorptive_capacity_in_the_age_of_ai"/>
      <w:r>
        <w:rPr>
          <w:rFonts w:eastAsia="source serif 4" w:cs="source serif 4" w:ascii="source serif 4" w:hAnsi="source serif 4"/>
          <w:b/>
          <w:color w:val="000000"/>
          <w:sz w:val="24"/>
        </w:rPr>
        <w:t xml:space="preserve">Absorptive Capacity in the Age of AI</w:t>
      </w:r>
      <w:bookmarkEnd w:id="8"/>
    </w:p>
    <w:p>
      <w:pPr>
        <w:spacing w:line="360" w:before="315" w:after="105" w:lineRule="auto"/>
        <w:ind w:left="-30"/>
        <w:jc w:val="left"/>
      </w:pPr>
      <w:bookmarkStart w:id="9" w:name="classical_absorptive_capacity_theory"/>
      <w:r>
        <w:rPr>
          <w:rFonts w:eastAsia="source serif 4" w:cs="source serif 4" w:ascii="source serif 4" w:hAnsi="source serif 4"/>
          <w:b/>
          <w:color w:val="000000"/>
          <w:sz w:val="24"/>
        </w:rPr>
        <w:t xml:space="preserve">Classical Absorptive Capacity Theory</w:t>
      </w:r>
      <w:bookmarkEnd w:id="9"/>
    </w:p>
    <w:p>
      <w:pPr>
        <w:spacing w:line="360" w:after="210" w:lineRule="auto"/>
      </w:pPr>
      <w:r>
        <w:rPr>
          <w:rFonts w:eastAsia="source serif 4" w:cs="source serif 4" w:ascii="source serif 4" w:hAnsi="source serif 4"/>
          <w:color w:val="000000"/>
        </w:rPr>
        <w:t xml:space="preserve">Cohen and Levinthal’s foundational work emphasized absorptive capacity as a critical determinant of firms’ innovative performance. They argued that the ability to recognize, assimilate, and apply external knowledge is a function of prior related knowledge, particularly R&amp;D investment. Firms that invest in R&amp;D are better able to understand and exploit external information.[</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Subsequent research extended absorptive capacity to national innovation systems, showing that countries with stronger technological capabilities and institutional support are more effective at internalizing and using foreign technologies. Absorptive capacity has been widely adopted to explain how organizations and societies learn from external knowledge flows.[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7]</w:t>
      </w:r>
    </w:p>
    <w:p>
      <w:pPr>
        <w:spacing w:line="360" w:before="315" w:after="105" w:lineRule="auto"/>
        <w:ind w:left="-30"/>
        <w:jc w:val="left"/>
      </w:pPr>
      <w:bookmarkStart w:id="10" w:name="rethinking_absorptive_capacity_with_ai"/>
      <w:r>
        <w:rPr>
          <w:rFonts w:eastAsia="source serif 4" w:cs="source serif 4" w:ascii="source serif 4" w:hAnsi="source serif 4"/>
          <w:b/>
          <w:color w:val="000000"/>
          <w:sz w:val="24"/>
        </w:rPr>
        <w:t xml:space="preserve">Rethinking Absorptive Capacity with AI</w:t>
      </w:r>
      <w:bookmarkEnd w:id="10"/>
    </w:p>
    <w:p>
      <w:pPr>
        <w:spacing w:line="360" w:after="210" w:lineRule="auto"/>
      </w:pPr>
      <w:r>
        <w:rPr>
          <w:rFonts w:eastAsia="source serif 4" w:cs="source serif 4" w:ascii="source serif 4" w:hAnsi="source serif 4"/>
          <w:color w:val="000000"/>
        </w:rPr>
        <w:t xml:space="preserve">The emergence of AI challenges and enriches the absorptive capacity construct. Recent studies argue that AI, by transforming data into actionable knowledge, introduces new dimensions of absorptive capacity and alters traditional knowledge processes. Key insights include:[</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w:t>
      </w:r>
    </w:p>
    <w:p>
      <w:pPr>
        <w:numPr>
          <w:ilvl w:val="0"/>
          <w:numId w:val="6"/>
        </w:numPr>
        <w:spacing w:line="360" w:before="105" w:after="105" w:lineRule="auto"/>
      </w:pPr>
      <w:r>
        <w:rPr>
          <w:rFonts w:eastAsia="source serif 4" w:cs="source serif 4" w:ascii="source serif 4" w:hAnsi="source serif 4"/>
          <w:b/>
          <w:color w:val="000000"/>
          <w:sz w:val="21"/>
        </w:rPr>
        <w:t xml:space="preserve">AI‑driven absorptive processes.</w:t>
      </w:r>
      <w:r>
        <w:rPr>
          <w:rFonts w:eastAsia="source serif 4" w:cs="source serif 4" w:ascii="source serif 4" w:hAnsi="source serif 4"/>
          <w:color w:val="000000"/>
          <w:sz w:val="21"/>
        </w:rPr>
        <w:t xml:space="preserve"> AI systems themselves can perform aspects of knowledge recognition and assimilation, altering how organizations identify relevant external knowledge.[^1]</w:t>
      </w:r>
    </w:p>
    <w:p>
      <w:pPr>
        <w:numPr>
          <w:ilvl w:val="0"/>
          <w:numId w:val="6"/>
        </w:numPr>
        <w:spacing w:line="360" w:before="105" w:after="105" w:lineRule="auto"/>
      </w:pPr>
      <w:r>
        <w:rPr>
          <w:rFonts w:eastAsia="source serif 4" w:cs="source serif 4" w:ascii="source serif 4" w:hAnsi="source serif 4"/>
          <w:b/>
          <w:color w:val="000000"/>
          <w:sz w:val="21"/>
        </w:rPr>
        <w:t xml:space="preserve">Digital absorptive capacity.</w:t>
      </w:r>
      <w:r>
        <w:rPr>
          <w:rFonts w:eastAsia="source serif 4" w:cs="source serif 4" w:ascii="source serif 4" w:hAnsi="source serif 4"/>
          <w:color w:val="000000"/>
          <w:sz w:val="21"/>
        </w:rPr>
        <w:t xml:space="preserve"> AI‑based digital transformation depends on technological, organizational, and environmental factors strengthened by digital absorptive capacity—organizations’ ability to integrate AI into their routines and infrastructures.[^11]</w:t>
      </w:r>
    </w:p>
    <w:p>
      <w:pPr>
        <w:numPr>
          <w:ilvl w:val="0"/>
          <w:numId w:val="6"/>
        </w:numPr>
        <w:spacing w:line="360" w:before="105" w:after="105" w:lineRule="auto"/>
      </w:pPr>
      <w:r>
        <w:rPr>
          <w:rFonts w:eastAsia="source serif 4" w:cs="source serif 4" w:ascii="source serif 4" w:hAnsi="source serif 4"/>
          <w:b/>
          <w:color w:val="000000"/>
          <w:sz w:val="21"/>
        </w:rPr>
        <w:t xml:space="preserve">Potential and realized absorptive capacity.</w:t>
      </w:r>
      <w:r>
        <w:rPr>
          <w:rFonts w:eastAsia="source serif 4" w:cs="source serif 4" w:ascii="source serif 4" w:hAnsi="source serif 4"/>
          <w:color w:val="000000"/>
          <w:sz w:val="21"/>
        </w:rPr>
        <w:t xml:space="preserve"> Studies distinguish between potential capacity (acquiring and assimilating external knowledge) and realized capacity (transforming and exploiting knowledge), showing that both mediate the relationship between AI capabilities and outcomes such as green innovation.[^15]</w:t>
      </w:r>
    </w:p>
    <w:p>
      <w:pPr>
        <w:spacing w:line="360" w:after="210" w:lineRule="auto"/>
      </w:pPr>
      <w:r>
        <w:rPr>
          <w:rFonts w:eastAsia="source serif 4" w:cs="source serif 4" w:ascii="source serif 4" w:hAnsi="source serif 4"/>
          <w:color w:val="000000"/>
        </w:rPr>
        <w:t xml:space="preserve">These developments reassert the relevance of absorptive capacity while emphasizing that AI reshapes knowledge flows and absorption pathways.</w:t>
      </w:r>
    </w:p>
    <w:p>
      <w:pPr>
        <w:spacing w:line="360" w:before="315" w:after="105" w:lineRule="auto"/>
        <w:ind w:left="-30"/>
        <w:jc w:val="left"/>
      </w:pPr>
      <w:bookmarkStart w:id="11" w:name="access_as_necessary_but_not_suffi_6f4b85"/>
      <w:r>
        <w:rPr>
          <w:rFonts w:eastAsia="source serif 4" w:cs="source serif 4" w:ascii="source serif 4" w:hAnsi="source serif 4"/>
          <w:b/>
          <w:color w:val="000000"/>
          <w:sz w:val="24"/>
        </w:rPr>
        <w:t xml:space="preserve">Access as Necessary but Not Sufficient for Absorption</w:t>
      </w:r>
      <w:bookmarkEnd w:id="11"/>
    </w:p>
    <w:p>
      <w:pPr>
        <w:spacing w:line="360" w:after="210" w:lineRule="auto"/>
      </w:pPr>
      <w:r>
        <w:rPr>
          <w:rFonts w:eastAsia="source serif 4" w:cs="source serif 4" w:ascii="source serif 4" w:hAnsi="source serif 4"/>
          <w:color w:val="000000"/>
        </w:rPr>
        <w:t xml:space="preserve">Access to AI resources is a prerequisite for absorptive capacity. Organizations cannot absorb what they cannot reach. However, multiple studies highlight that access alone does not guarantee learning or innovation:</w:t>
      </w:r>
    </w:p>
    <w:p>
      <w:pPr>
        <w:numPr>
          <w:ilvl w:val="0"/>
          <w:numId w:val="7"/>
        </w:numPr>
        <w:spacing w:line="360" w:before="105" w:after="105" w:lineRule="auto"/>
      </w:pPr>
      <w:r>
        <w:rPr>
          <w:rFonts w:eastAsia="source serif 4" w:cs="source serif 4" w:ascii="source serif 4" w:hAnsi="source serif 4"/>
          <w:color w:val="000000"/>
          <w:sz w:val="21"/>
        </w:rPr>
        <w:t xml:space="preserve">Firms with AI capabilities are more likely to learn and absorb external information, but only when they possess adequate absorptive capacity and operate in environments that encourage exploration.[^15]</w:t>
      </w:r>
    </w:p>
    <w:p>
      <w:pPr>
        <w:numPr>
          <w:ilvl w:val="0"/>
          <w:numId w:val="7"/>
        </w:numPr>
        <w:spacing w:line="360" w:before="105" w:after="105" w:lineRule="auto"/>
      </w:pPr>
      <w:r>
        <w:rPr>
          <w:rFonts w:eastAsia="source serif 4" w:cs="source serif 4" w:ascii="source serif 4" w:hAnsi="source serif 4"/>
          <w:color w:val="000000"/>
          <w:sz w:val="21"/>
        </w:rPr>
        <w:t xml:space="preserve">Digital transformation journeys influenced by technological, organizational, and environmental factors succeed only when inherent absorptive capacity is mobilized and strengthened.[^11]</w:t>
      </w:r>
    </w:p>
    <w:p>
      <w:pPr>
        <w:spacing w:line="360" w:after="210" w:lineRule="auto"/>
      </w:pPr>
      <w:r>
        <w:rPr>
          <w:rFonts w:eastAsia="source serif 4" w:cs="source serif 4" w:ascii="source serif 4" w:hAnsi="source serif 4"/>
          <w:color w:val="000000"/>
        </w:rPr>
        <w:t xml:space="preserve">In other words, access enables potential absorption but does not ensure it. Absorptive capacity transforms access into meaningful learning and application.</w:t>
      </w:r>
    </w:p>
    <w:p>
      <w:pPr>
        <w:spacing w:line="360" w:before="315" w:after="105" w:lineRule="auto"/>
        <w:ind w:left="-30"/>
        <w:jc w:val="left"/>
      </w:pPr>
      <w:bookmarkStart w:id="12" w:name="why_absorption_is_not_the_ultimate_goal"/>
      <w:r>
        <w:rPr>
          <w:rFonts w:eastAsia="source serif 4" w:cs="source serif 4" w:ascii="source serif 4" w:hAnsi="source serif 4"/>
          <w:b/>
          <w:color w:val="000000"/>
          <w:sz w:val="24"/>
        </w:rPr>
        <w:t xml:space="preserve">Why Absorption Is Not the Ultimate Goal</w:t>
      </w:r>
      <w:bookmarkEnd w:id="12"/>
    </w:p>
    <w:p>
      <w:pPr>
        <w:spacing w:line="360" w:before="315" w:after="105" w:lineRule="auto"/>
        <w:ind w:left="-30"/>
        <w:jc w:val="left"/>
      </w:pPr>
      <w:bookmarkStart w:id="13" w:name="limits_of_an_absorption_centric_frame"/>
      <w:r>
        <w:rPr>
          <w:rFonts w:eastAsia="source serif 4" w:cs="source serif 4" w:ascii="source serif 4" w:hAnsi="source serif 4"/>
          <w:b/>
          <w:color w:val="000000"/>
          <w:sz w:val="24"/>
        </w:rPr>
        <w:t xml:space="preserve">Limits of an Absorption‑Centric Frame</w:t>
      </w:r>
      <w:bookmarkEnd w:id="13"/>
    </w:p>
    <w:p>
      <w:pPr>
        <w:spacing w:line="360" w:after="210" w:lineRule="auto"/>
      </w:pPr>
      <w:r>
        <w:rPr>
          <w:rFonts w:eastAsia="source serif 4" w:cs="source serif 4" w:ascii="source serif 4" w:hAnsi="source serif 4"/>
          <w:color w:val="000000"/>
        </w:rPr>
        <w:t xml:space="preserve">While absorptive capacity is central, treating it as the ultimate goal of AI capacity risks narrowing the conceptual space in several ways:</w:t>
      </w:r>
    </w:p>
    <w:p>
      <w:pPr>
        <w:numPr>
          <w:ilvl w:val="0"/>
          <w:numId w:val="8"/>
        </w:numPr>
        <w:spacing w:line="360" w:after="210" w:lineRule="auto"/>
      </w:pPr>
      <w:r>
        <w:rPr>
          <w:rFonts w:eastAsia="source serif 4" w:cs="source serif 4" w:ascii="source serif 4" w:hAnsi="source serif 4"/>
          <w:b/>
          <w:color w:val="000000"/>
          <w:sz w:val="21"/>
        </w:rPr>
        <w:t xml:space="preserve">Exogenous bias.</w:t>
      </w:r>
      <w:r>
        <w:rPr>
          <w:rFonts w:eastAsia="source serif 4" w:cs="source serif 4" w:ascii="source serif 4" w:hAnsi="source serif 4"/>
          <w:color w:val="000000"/>
          <w:sz w:val="21"/>
        </w:rPr>
        <w:t xml:space="preserve"> Absorptive frameworks focus on external knowledge and technologies entering a system, privileging uptake of globally dominant AI platforms and solutions. This can cast local actors as recipients rather than creators.[</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p>
    <w:p>
      <w:pPr>
        <w:numPr>
          <w:ilvl w:val="0"/>
          <w:numId w:val="8"/>
        </w:numPr>
        <w:spacing w:line="360" w:after="210" w:lineRule="auto"/>
      </w:pPr>
      <w:r>
        <w:rPr>
          <w:rFonts w:eastAsia="source serif 4" w:cs="source serif 4" w:ascii="source serif 4" w:hAnsi="source serif 4"/>
          <w:b/>
          <w:color w:val="000000"/>
          <w:sz w:val="21"/>
        </w:rPr>
        <w:t xml:space="preserve">Underemphasis on indigenous generation.</w:t>
      </w:r>
      <w:r>
        <w:rPr>
          <w:rFonts w:eastAsia="source serif 4" w:cs="source serif 4" w:ascii="source serif 4" w:hAnsi="source serif 4"/>
          <w:color w:val="000000"/>
          <w:sz w:val="21"/>
        </w:rPr>
        <w:t xml:space="preserve"> By centering receptivity, absorption frameworks may underplay the importance of originating AI systems and governance models rooted in local values and knowledge systems.[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7]</w:t>
      </w:r>
    </w:p>
    <w:p>
      <w:pPr>
        <w:numPr>
          <w:ilvl w:val="0"/>
          <w:numId w:val="8"/>
        </w:numPr>
        <w:spacing w:line="360" w:after="210" w:lineRule="auto"/>
      </w:pPr>
      <w:r>
        <w:rPr>
          <w:rFonts w:eastAsia="source serif 4" w:cs="source serif 4" w:ascii="source serif 4" w:hAnsi="source serif 4"/>
          <w:b/>
          <w:color w:val="000000"/>
          <w:sz w:val="21"/>
        </w:rPr>
        <w:t xml:space="preserve">Neglect of pluriversal futures.</w:t>
      </w:r>
      <w:r>
        <w:rPr>
          <w:rFonts w:eastAsia="source serif 4" w:cs="source serif 4" w:ascii="source serif 4" w:hAnsi="source serif 4"/>
          <w:color w:val="000000"/>
          <w:sz w:val="21"/>
        </w:rPr>
        <w:t xml:space="preserve"> Absorption presumes a shared technological paradigm to be absorbed. Pluriversal perspectives insist on multiple worlds and legitimate differences in how societies conceive and use technology.[^4]</w:t>
      </w:r>
    </w:p>
    <w:p>
      <w:pPr>
        <w:spacing w:line="360" w:after="210" w:lineRule="auto"/>
      </w:pPr>
      <w:r>
        <w:rPr>
          <w:rFonts w:eastAsia="source serif 4" w:cs="source serif 4" w:ascii="source serif 4" w:hAnsi="source serif 4"/>
          <w:color w:val="000000"/>
        </w:rPr>
        <w:t xml:space="preserve">Absorption is therefore best seen as an intermediary capability: it is necessary for engaging with external AI, but insufficient for achieving self‑determined, pluriversal AI futures.</w:t>
      </w:r>
    </w:p>
    <w:p>
      <w:pPr>
        <w:spacing w:line="360" w:before="315" w:after="105" w:lineRule="auto"/>
        <w:ind w:left="-30"/>
        <w:jc w:val="left"/>
      </w:pPr>
      <w:bookmarkStart w:id="14" w:name="from_absorption_to_constellations_e0c412"/>
      <w:r>
        <w:rPr>
          <w:rFonts w:eastAsia="source serif 4" w:cs="source serif 4" w:ascii="source serif 4" w:hAnsi="source serif 4"/>
          <w:b/>
          <w:color w:val="000000"/>
          <w:sz w:val="24"/>
        </w:rPr>
        <w:t xml:space="preserve">From Absorption to Constellations of Capability</w:t>
      </w:r>
      <w:bookmarkEnd w:id="14"/>
    </w:p>
    <w:p>
      <w:pPr>
        <w:spacing w:line="360" w:after="210" w:lineRule="auto"/>
      </w:pPr>
      <w:r>
        <w:rPr>
          <w:rFonts w:eastAsia="source serif 4" w:cs="source serif 4" w:ascii="source serif 4" w:hAnsi="source serif 4"/>
          <w:color w:val="000000"/>
        </w:rPr>
        <w:t xml:space="preserve">Repositioning absorptive capacity within a broader constellation clarifies its role:</w:t>
      </w:r>
    </w:p>
    <w:p>
      <w:pPr>
        <w:numPr>
          <w:ilvl w:val="0"/>
          <w:numId w:val="9"/>
        </w:numPr>
        <w:spacing w:line="360" w:before="105" w:after="105" w:lineRule="auto"/>
      </w:pPr>
      <w:r>
        <w:rPr>
          <w:rFonts w:eastAsia="source serif 4" w:cs="source serif 4" w:ascii="source serif 4" w:hAnsi="source serif 4"/>
          <w:color w:val="000000"/>
          <w:sz w:val="21"/>
        </w:rPr>
        <w:t xml:space="preserve">It </w:t>
      </w:r>
      <w:r>
        <w:rPr>
          <w:rFonts w:eastAsia="source serif 4" w:cs="source serif 4" w:ascii="source serif 4" w:hAnsi="source serif 4"/>
          <w:b/>
          <w:color w:val="000000"/>
          <w:sz w:val="21"/>
        </w:rPr>
        <w:t xml:space="preserve">connects access to effective use</w:t>
      </w:r>
      <w:r>
        <w:rPr>
          <w:rFonts w:eastAsia="source serif 4" w:cs="source serif 4" w:ascii="source serif 4" w:hAnsi="source serif 4"/>
          <w:color w:val="000000"/>
          <w:sz w:val="21"/>
        </w:rPr>
        <w:t xml:space="preserve">, ensuring that external AI resources are understood and integrated rather than remaining unused or misapplied.</w:t>
      </w:r>
    </w:p>
    <w:p>
      <w:pPr>
        <w:numPr>
          <w:ilvl w:val="0"/>
          <w:numId w:val="9"/>
        </w:numPr>
        <w:spacing w:line="360" w:before="105" w:after="105" w:lineRule="auto"/>
      </w:pPr>
      <w:r>
        <w:rPr>
          <w:rFonts w:eastAsia="source serif 4" w:cs="source serif 4" w:ascii="source serif 4" w:hAnsi="source serif 4"/>
          <w:color w:val="000000"/>
          <w:sz w:val="21"/>
        </w:rPr>
        <w:t xml:space="preserve">It </w:t>
      </w:r>
      <w:r>
        <w:rPr>
          <w:rFonts w:eastAsia="source serif 4" w:cs="source serif 4" w:ascii="source serif 4" w:hAnsi="source serif 4"/>
          <w:b/>
          <w:color w:val="000000"/>
          <w:sz w:val="21"/>
        </w:rPr>
        <w:t xml:space="preserve">interacts with generative capabilities</w:t>
      </w:r>
      <w:r>
        <w:rPr>
          <w:rFonts w:eastAsia="source serif 4" w:cs="source serif 4" w:ascii="source serif 4" w:hAnsi="source serif 4"/>
          <w:color w:val="000000"/>
          <w:sz w:val="21"/>
        </w:rPr>
        <w:t xml:space="preserve">, enabling organizations to build on absorbed knowledge to create new, context‑specific AI solutions.[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7]</w:t>
      </w:r>
    </w:p>
    <w:p>
      <w:pPr>
        <w:numPr>
          <w:ilvl w:val="0"/>
          <w:numId w:val="9"/>
        </w:numPr>
        <w:spacing w:line="360" w:before="105" w:after="105" w:lineRule="auto"/>
      </w:pPr>
      <w:r>
        <w:rPr>
          <w:rFonts w:eastAsia="source serif 4" w:cs="source serif 4" w:ascii="source serif 4" w:hAnsi="source serif 4"/>
          <w:color w:val="000000"/>
          <w:sz w:val="21"/>
        </w:rPr>
        <w:t xml:space="preserve">It </w:t>
      </w:r>
      <w:r>
        <w:rPr>
          <w:rFonts w:eastAsia="source serif 4" w:cs="source serif 4" w:ascii="source serif 4" w:hAnsi="source serif 4"/>
          <w:b/>
          <w:color w:val="000000"/>
          <w:sz w:val="21"/>
        </w:rPr>
        <w:t xml:space="preserve">relies on institutional and safeguarding capacities</w:t>
      </w:r>
      <w:r>
        <w:rPr>
          <w:rFonts w:eastAsia="source serif 4" w:cs="source serif 4" w:ascii="source serif 4" w:hAnsi="source serif 4"/>
          <w:color w:val="000000"/>
          <w:sz w:val="21"/>
        </w:rPr>
        <w:t xml:space="preserve">, which shape how absorbed AI is deployed and governed.[</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color w:val="000000"/>
        </w:rPr>
        <w:t xml:space="preserve">The ultimate goal is not maximized absorption of external AI, but the development of ecosystems that can selectively absorb, critically evaluate, and generatively transform AI in line with local priorities and values.</w:t>
      </w:r>
    </w:p>
    <w:p>
      <w:pPr>
        <w:spacing w:line="360" w:before="315" w:after="105" w:lineRule="auto"/>
        <w:ind w:left="-30"/>
        <w:jc w:val="left"/>
      </w:pPr>
      <w:bookmarkStart w:id="15" w:name="pluriversal_pathways_capacity_bey_a4eea0"/>
      <w:r>
        <w:rPr>
          <w:rFonts w:eastAsia="source serif 4" w:cs="source serif 4" w:ascii="source serif 4" w:hAnsi="source serif 4"/>
          <w:b/>
          <w:color w:val="000000"/>
          <w:sz w:val="24"/>
        </w:rPr>
        <w:t xml:space="preserve">Pluriversal Pathways: Capacity Beyond Absorption</w:t>
      </w:r>
      <w:bookmarkEnd w:id="15"/>
    </w:p>
    <w:p>
      <w:pPr>
        <w:spacing w:line="360" w:before="315" w:after="105" w:lineRule="auto"/>
        <w:ind w:left="-30"/>
        <w:jc w:val="left"/>
      </w:pPr>
      <w:bookmarkStart w:id="16" w:name="pluriverse_and_dynamic_pathways"/>
      <w:r>
        <w:rPr>
          <w:rFonts w:eastAsia="source serif 4" w:cs="source serif 4" w:ascii="source serif 4" w:hAnsi="source serif 4"/>
          <w:b/>
          <w:color w:val="000000"/>
          <w:sz w:val="24"/>
        </w:rPr>
        <w:t xml:space="preserve">Pluriverse and Dynamic Pathways</w:t>
      </w:r>
      <w:bookmarkEnd w:id="16"/>
    </w:p>
    <w:p>
      <w:pPr>
        <w:spacing w:line="360" w:after="210" w:lineRule="auto"/>
      </w:pPr>
      <w:r>
        <w:rPr>
          <w:rFonts w:eastAsia="source serif 4" w:cs="source serif 4" w:ascii="source serif 4" w:hAnsi="source serif 4"/>
          <w:color w:val="000000"/>
        </w:rPr>
        <w:t xml:space="preserve">The pluriverse concept emphasizes "many worlds"—distinct ontologies and value systems—rather than a single modernist trajectory. In digital and AI contexts, this entails recognition that:[^4]</w:t>
      </w:r>
    </w:p>
    <w:p>
      <w:pPr>
        <w:numPr>
          <w:ilvl w:val="0"/>
          <w:numId w:val="10"/>
        </w:numPr>
        <w:spacing w:line="360" w:before="105" w:after="105" w:lineRule="auto"/>
      </w:pPr>
      <w:r>
        <w:rPr>
          <w:rFonts w:eastAsia="source serif 4" w:cs="source serif 4" w:ascii="source serif 4" w:hAnsi="source serif 4"/>
          <w:color w:val="000000"/>
          <w:sz w:val="21"/>
        </w:rPr>
        <w:t xml:space="preserve">Societies hold diverse visions of progress, efficiency, and well‑being.</w:t>
      </w:r>
    </w:p>
    <w:p>
      <w:pPr>
        <w:numPr>
          <w:ilvl w:val="0"/>
          <w:numId w:val="10"/>
        </w:numPr>
        <w:spacing w:line="360" w:before="105" w:after="105" w:lineRule="auto"/>
      </w:pPr>
      <w:r>
        <w:rPr>
          <w:rFonts w:eastAsia="source serif 4" w:cs="source serif 4" w:ascii="source serif 4" w:hAnsi="source serif 4"/>
          <w:color w:val="000000"/>
          <w:sz w:val="21"/>
        </w:rPr>
        <w:t xml:space="preserve">Communities may legitimately choose minimal AI adoption or alternative digital infrastructures.</w:t>
      </w:r>
    </w:p>
    <w:p>
      <w:pPr>
        <w:numPr>
          <w:ilvl w:val="0"/>
          <w:numId w:val="10"/>
        </w:numPr>
        <w:spacing w:line="360" w:before="105" w:after="105" w:lineRule="auto"/>
      </w:pPr>
      <w:r>
        <w:rPr>
          <w:rFonts w:eastAsia="source serif 4" w:cs="source serif 4" w:ascii="source serif 4" w:hAnsi="source serif 4"/>
          <w:color w:val="000000"/>
          <w:sz w:val="21"/>
        </w:rPr>
        <w:t xml:space="preserve">Harms and benefits of AI are interpreted through local histories and power relations.[</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color w:val="000000"/>
        </w:rPr>
        <w:t xml:space="preserve">Dynamic sustainabilities and pathways thinking similarly reject singular, optimal pathways in favor of multiple, contested routes shaped by knowledge, power, and politics.[^5]</w:t>
      </w:r>
    </w:p>
    <w:p>
      <w:pPr>
        <w:spacing w:line="360" w:before="315" w:after="105" w:lineRule="auto"/>
        <w:ind w:left="-30"/>
        <w:jc w:val="left"/>
      </w:pPr>
      <w:bookmarkStart w:id="17" w:name="capacity_as_ability_to_choose_con_7b7538"/>
      <w:r>
        <w:rPr>
          <w:rFonts w:eastAsia="source serif 4" w:cs="source serif 4" w:ascii="source serif 4" w:hAnsi="source serif 4"/>
          <w:b/>
          <w:color w:val="000000"/>
          <w:sz w:val="24"/>
        </w:rPr>
        <w:t xml:space="preserve">Capacity as Ability to Choose, Contest, and Co‑Create</w:t>
      </w:r>
      <w:bookmarkEnd w:id="17"/>
    </w:p>
    <w:p>
      <w:pPr>
        <w:spacing w:line="360" w:after="210" w:lineRule="auto"/>
      </w:pPr>
      <w:r>
        <w:rPr>
          <w:rFonts w:eastAsia="source serif 4" w:cs="source serif 4" w:ascii="source serif 4" w:hAnsi="source serif 4"/>
          <w:color w:val="000000"/>
        </w:rPr>
        <w:t xml:space="preserve">Within a pluriversal framing, capacity to benefit from AI becomes:</w:t>
      </w:r>
    </w:p>
    <w:p>
      <w:pPr>
        <w:numPr>
          <w:ilvl w:val="0"/>
          <w:numId w:val="11"/>
        </w:numPr>
        <w:spacing w:line="360" w:before="105" w:after="105" w:lineRule="auto"/>
      </w:pPr>
      <w:r>
        <w:rPr>
          <w:rFonts w:eastAsia="source serif 4" w:cs="source serif 4" w:ascii="source serif 4" w:hAnsi="source serif 4"/>
          <w:color w:val="000000"/>
          <w:sz w:val="21"/>
        </w:rPr>
        <w:t xml:space="preserve">The ability to </w:t>
      </w:r>
      <w:r>
        <w:rPr>
          <w:rFonts w:eastAsia="source serif 4" w:cs="source serif 4" w:ascii="source serif 4" w:hAnsi="source serif 4"/>
          <w:b/>
          <w:color w:val="000000"/>
          <w:sz w:val="21"/>
        </w:rPr>
        <w:t xml:space="preserve">choose among AI pathways</w:t>
      </w:r>
      <w:r>
        <w:rPr>
          <w:rFonts w:eastAsia="source serif 4" w:cs="source serif 4" w:ascii="source serif 4" w:hAnsi="source serif 4"/>
          <w:color w:val="000000"/>
          <w:sz w:val="21"/>
        </w:rPr>
        <w:t xml:space="preserve">, including the option to resist certain deployments.</w:t>
      </w:r>
    </w:p>
    <w:p>
      <w:pPr>
        <w:numPr>
          <w:ilvl w:val="0"/>
          <w:numId w:val="11"/>
        </w:numPr>
        <w:spacing w:line="360" w:before="105" w:after="105" w:lineRule="auto"/>
      </w:pPr>
      <w:r>
        <w:rPr>
          <w:rFonts w:eastAsia="source serif 4" w:cs="source serif 4" w:ascii="source serif 4" w:hAnsi="source serif 4"/>
          <w:color w:val="000000"/>
          <w:sz w:val="21"/>
        </w:rPr>
        <w:t xml:space="preserve">The ability to </w:t>
      </w:r>
      <w:r>
        <w:rPr>
          <w:rFonts w:eastAsia="source serif 4" w:cs="source serif 4" w:ascii="source serif 4" w:hAnsi="source serif 4"/>
          <w:b/>
          <w:color w:val="000000"/>
          <w:sz w:val="21"/>
        </w:rPr>
        <w:t xml:space="preserve">contest</w:t>
      </w:r>
      <w:r>
        <w:rPr>
          <w:rFonts w:eastAsia="source serif 4" w:cs="source serif 4" w:ascii="source serif 4" w:hAnsi="source serif 4"/>
          <w:color w:val="000000"/>
          <w:sz w:val="21"/>
        </w:rPr>
        <w:t xml:space="preserve"> harmful or misaligned AI projects through social safeguards and institutional channels.[^4]</w:t>
      </w:r>
    </w:p>
    <w:p>
      <w:pPr>
        <w:numPr>
          <w:ilvl w:val="0"/>
          <w:numId w:val="11"/>
        </w:numPr>
        <w:spacing w:line="360" w:before="105" w:after="105" w:lineRule="auto"/>
      </w:pPr>
      <w:r>
        <w:rPr>
          <w:rFonts w:eastAsia="source serif 4" w:cs="source serif 4" w:ascii="source serif 4" w:hAnsi="source serif 4"/>
          <w:color w:val="000000"/>
          <w:sz w:val="21"/>
        </w:rPr>
        <w:t xml:space="preserve">The ability to </w:t>
      </w:r>
      <w:r>
        <w:rPr>
          <w:rFonts w:eastAsia="source serif 4" w:cs="source serif 4" w:ascii="source serif 4" w:hAnsi="source serif 4"/>
          <w:b/>
          <w:color w:val="000000"/>
          <w:sz w:val="21"/>
        </w:rPr>
        <w:t xml:space="preserve">co‑create alternative AI systems and governance models</w:t>
      </w:r>
      <w:r>
        <w:rPr>
          <w:rFonts w:eastAsia="source serif 4" w:cs="source serif 4" w:ascii="source serif 4" w:hAnsi="source serif 4"/>
          <w:color w:val="000000"/>
          <w:sz w:val="21"/>
        </w:rPr>
        <w:t xml:space="preserve"> grounded in local knowledge and priorities.[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7]</w:t>
      </w:r>
    </w:p>
    <w:p>
      <w:pPr>
        <w:spacing w:line="360" w:after="210" w:lineRule="auto"/>
      </w:pPr>
      <w:r>
        <w:rPr>
          <w:rFonts w:eastAsia="source serif 4" w:cs="source serif 4" w:ascii="source serif 4" w:hAnsi="source serif 4"/>
          <w:color w:val="000000"/>
        </w:rPr>
        <w:t xml:space="preserve">Absorptive capacity remains essential, but it is complemented by generative, institutional, and epistemic capacities. Together, these dimensions enable societies to pursue plural AI futures rather than conform to a single hegemonic trajectory.</w:t>
      </w:r>
    </w:p>
    <w:p>
      <w:pPr>
        <w:spacing w:line="360" w:before="315" w:after="105" w:lineRule="auto"/>
        <w:ind w:left="-30"/>
        <w:jc w:val="left"/>
      </w:pPr>
      <w:bookmarkStart w:id="18" w:name="connecting_dimensions_from_access_b9325d"/>
      <w:r>
        <w:rPr>
          <w:rFonts w:eastAsia="source serif 4" w:cs="source serif 4" w:ascii="source serif 4" w:hAnsi="source serif 4"/>
          <w:b/>
          <w:color w:val="000000"/>
          <w:sz w:val="24"/>
        </w:rPr>
        <w:t xml:space="preserve">Connecting Dimensions: From Access and Absorption to Ecosystems</w:t>
      </w:r>
      <w:bookmarkEnd w:id="18"/>
    </w:p>
    <w:p>
      <w:pPr>
        <w:spacing w:line="360" w:before="315" w:after="105" w:lineRule="auto"/>
        <w:ind w:left="-30"/>
        <w:jc w:val="left"/>
      </w:pPr>
      <w:bookmarkStart w:id="19" w:name="coordinating_institutions_and_safeguards"/>
      <w:r>
        <w:rPr>
          <w:rFonts w:eastAsia="source serif 4" w:cs="source serif 4" w:ascii="source serif 4" w:hAnsi="source serif 4"/>
          <w:b/>
          <w:color w:val="000000"/>
          <w:sz w:val="24"/>
        </w:rPr>
        <w:t xml:space="preserve">Coordinating Institutions and Safeguards</w:t>
      </w:r>
      <w:bookmarkEnd w:id="19"/>
    </w:p>
    <w:p>
      <w:pPr>
        <w:spacing w:line="360" w:after="210" w:lineRule="auto"/>
      </w:pPr>
      <w:r>
        <w:rPr>
          <w:rFonts w:eastAsia="source serif 4" w:cs="source serif 4" w:ascii="source serif 4" w:hAnsi="source serif 4"/>
          <w:color w:val="000000"/>
        </w:rPr>
        <w:t xml:space="preserve">Effective AI ecosystems connect diverse capacity nodes through coordination and governance arrangements:</w:t>
      </w:r>
    </w:p>
    <w:p>
      <w:pPr>
        <w:numPr>
          <w:ilvl w:val="0"/>
          <w:numId w:val="12"/>
        </w:numPr>
        <w:spacing w:line="360" w:before="105" w:after="105" w:lineRule="auto"/>
      </w:pPr>
      <w:r>
        <w:rPr>
          <w:rFonts w:eastAsia="source serif 4" w:cs="source serif 4" w:ascii="source serif 4" w:hAnsi="source serif 4"/>
          <w:b/>
          <w:color w:val="000000"/>
          <w:sz w:val="21"/>
        </w:rPr>
        <w:t xml:space="preserve">Mandate clarity and coordination.</w:t>
      </w:r>
      <w:r>
        <w:rPr>
          <w:rFonts w:eastAsia="source serif 4" w:cs="source serif 4" w:ascii="source serif 4" w:hAnsi="source serif 4"/>
          <w:color w:val="000000"/>
          <w:sz w:val="21"/>
        </w:rPr>
        <w:t xml:space="preserve"> Clear institutional mandates and cross‑sectoral coordination bodies link technological capabilities, absorptive processes, and safeguarding functions.[</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3]</w:t>
      </w:r>
    </w:p>
    <w:p>
      <w:pPr>
        <w:numPr>
          <w:ilvl w:val="0"/>
          <w:numId w:val="12"/>
        </w:numPr>
        <w:spacing w:line="360" w:before="105" w:after="105" w:lineRule="auto"/>
      </w:pPr>
      <w:r>
        <w:rPr>
          <w:rFonts w:eastAsia="source serif 4" w:cs="source serif 4" w:ascii="source serif 4" w:hAnsi="source serif 4"/>
          <w:b/>
          <w:color w:val="000000"/>
          <w:sz w:val="21"/>
        </w:rPr>
        <w:t xml:space="preserve">Embedded safeguards.</w:t>
      </w:r>
      <w:r>
        <w:rPr>
          <w:rFonts w:eastAsia="source serif 4" w:cs="source serif 4" w:ascii="source serif 4" w:hAnsi="source serif 4"/>
          <w:color w:val="000000"/>
          <w:sz w:val="21"/>
        </w:rPr>
        <w:t xml:space="preserve"> Social safeguards are integrated throughout AI project lifecycles via impact assessments, participatory design, and independent oversight bodies.[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color w:val="000000"/>
        </w:rPr>
        <w:t xml:space="preserve">These arrangements ensure that absorbed AI technologies are deployed in ways that respect rights and support inclusive development.</w:t>
      </w:r>
    </w:p>
    <w:p>
      <w:pPr>
        <w:spacing w:line="360" w:before="315" w:after="105" w:lineRule="auto"/>
        <w:ind w:left="-30"/>
        <w:jc w:val="left"/>
      </w:pPr>
      <w:bookmarkStart w:id="20" w:name="supporting_generative_nodes"/>
      <w:r>
        <w:rPr>
          <w:rFonts w:eastAsia="source serif 4" w:cs="source serif 4" w:ascii="source serif 4" w:hAnsi="source serif 4"/>
          <w:b/>
          <w:color w:val="000000"/>
          <w:sz w:val="24"/>
        </w:rPr>
        <w:t xml:space="preserve">Supporting Generative Nodes</w:t>
      </w:r>
      <w:bookmarkEnd w:id="20"/>
    </w:p>
    <w:p>
      <w:pPr>
        <w:spacing w:line="360" w:after="210" w:lineRule="auto"/>
      </w:pPr>
      <w:r>
        <w:rPr>
          <w:rFonts w:eastAsia="source serif 4" w:cs="source serif 4" w:ascii="source serif 4" w:hAnsi="source serif 4"/>
          <w:color w:val="000000"/>
        </w:rPr>
        <w:t xml:space="preserve">Generative capacity is strengthened by:</w:t>
      </w:r>
    </w:p>
    <w:p>
      <w:pPr>
        <w:numPr>
          <w:ilvl w:val="0"/>
          <w:numId w:val="13"/>
        </w:numPr>
        <w:spacing w:line="360" w:before="105" w:after="105" w:lineRule="auto"/>
      </w:pPr>
      <w:r>
        <w:rPr>
          <w:rFonts w:eastAsia="source serif 4" w:cs="source serif 4" w:ascii="source serif 4" w:hAnsi="source serif 4"/>
          <w:b/>
          <w:color w:val="000000"/>
          <w:sz w:val="21"/>
        </w:rPr>
        <w:t xml:space="preserve">Interdisciplinary research centers</w:t>
      </w:r>
      <w:r>
        <w:rPr>
          <w:rFonts w:eastAsia="source serif 4" w:cs="source serif 4" w:ascii="source serif 4" w:hAnsi="source serif 4"/>
          <w:color w:val="000000"/>
          <w:sz w:val="21"/>
        </w:rPr>
        <w:t xml:space="preserve"> combining technical AI expertise with social science and ethics.[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w:t>
      </w:r>
    </w:p>
    <w:p>
      <w:pPr>
        <w:numPr>
          <w:ilvl w:val="0"/>
          <w:numId w:val="13"/>
        </w:numPr>
        <w:spacing w:line="360" w:before="105" w:after="105" w:lineRule="auto"/>
      </w:pPr>
      <w:r>
        <w:rPr>
          <w:rFonts w:eastAsia="source serif 4" w:cs="source serif 4" w:ascii="source serif 4" w:hAnsi="source serif 4"/>
          <w:b/>
          <w:color w:val="000000"/>
          <w:sz w:val="21"/>
        </w:rPr>
        <w:t xml:space="preserve">Grassroots innovation hubs</w:t>
      </w:r>
      <w:r>
        <w:rPr>
          <w:rFonts w:eastAsia="source serif 4" w:cs="source serif 4" w:ascii="source serif 4" w:hAnsi="source serif 4"/>
          <w:color w:val="000000"/>
          <w:sz w:val="21"/>
        </w:rPr>
        <w:t xml:space="preserve"> enabling community experimentation with AI in sectors like agriculture, health, and environmental monitoring.[^5]</w:t>
      </w:r>
    </w:p>
    <w:p>
      <w:pPr>
        <w:numPr>
          <w:ilvl w:val="0"/>
          <w:numId w:val="13"/>
        </w:numPr>
        <w:spacing w:line="360" w:before="105" w:after="105" w:lineRule="auto"/>
      </w:pPr>
      <w:r>
        <w:rPr>
          <w:rFonts w:eastAsia="source serif 4" w:cs="source serif 4" w:ascii="source serif 4" w:hAnsi="source serif 4"/>
          <w:b/>
          <w:color w:val="000000"/>
          <w:sz w:val="21"/>
        </w:rPr>
        <w:t xml:space="preserve">Cultural and linguistic initiatives</w:t>
      </w:r>
      <w:r>
        <w:rPr>
          <w:rFonts w:eastAsia="source serif 4" w:cs="source serif 4" w:ascii="source serif 4" w:hAnsi="source serif 4"/>
          <w:color w:val="000000"/>
          <w:sz w:val="21"/>
        </w:rPr>
        <w:t xml:space="preserve"> producing AI tools that reflect diverse languages and narratives.[^7]</w:t>
      </w:r>
    </w:p>
    <w:p>
      <w:pPr>
        <w:spacing w:line="360" w:after="210" w:lineRule="auto"/>
      </w:pPr>
      <w:r>
        <w:rPr>
          <w:rFonts w:eastAsia="source serif 4" w:cs="source serif 4" w:ascii="source serif 4" w:hAnsi="source serif 4"/>
          <w:color w:val="000000"/>
        </w:rPr>
        <w:t xml:space="preserve">Investing in generative nodes ensures that absorptive capacity is directed towards creative appropriation and transformation, rather than mere replication.</w:t>
      </w:r>
    </w:p>
    <w:p>
      <w:pPr>
        <w:spacing w:line="360" w:before="315" w:after="105" w:lineRule="auto"/>
        <w:ind w:left="-30"/>
        <w:jc w:val="left"/>
      </w:pPr>
      <w:bookmarkStart w:id="21" w:name="building_robust_dpi_and_data_ecosystems"/>
      <w:r>
        <w:rPr>
          <w:rFonts w:eastAsia="source serif 4" w:cs="source serif 4" w:ascii="source serif 4" w:hAnsi="source serif 4"/>
          <w:b/>
          <w:color w:val="000000"/>
          <w:sz w:val="24"/>
        </w:rPr>
        <w:t xml:space="preserve">Building Robust DPI and Data Ecosystems</w:t>
      </w:r>
      <w:bookmarkEnd w:id="21"/>
    </w:p>
    <w:p>
      <w:pPr>
        <w:spacing w:line="360" w:after="210" w:lineRule="auto"/>
      </w:pPr>
      <w:r>
        <w:rPr>
          <w:rFonts w:eastAsia="source serif 4" w:cs="source serif 4" w:ascii="source serif 4" w:hAnsi="source serif 4"/>
          <w:color w:val="000000"/>
        </w:rPr>
        <w:t xml:space="preserve">Finally, robust DPI and data ecosystems provide the infrastructural backbone:</w:t>
      </w:r>
    </w:p>
    <w:p>
      <w:pPr>
        <w:numPr>
          <w:ilvl w:val="0"/>
          <w:numId w:val="14"/>
        </w:numPr>
        <w:spacing w:line="360" w:before="105" w:after="105" w:lineRule="auto"/>
      </w:pPr>
      <w:r>
        <w:rPr>
          <w:rFonts w:eastAsia="source serif 4" w:cs="source serif 4" w:ascii="source serif 4" w:hAnsi="source serif 4"/>
          <w:color w:val="000000"/>
          <w:sz w:val="21"/>
        </w:rPr>
        <w:t xml:space="preserve">Inclusive digital ID, payment, and service platforms support AI‑enabled public services.[</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4]</w:t>
      </w:r>
    </w:p>
    <w:p>
      <w:pPr>
        <w:numPr>
          <w:ilvl w:val="0"/>
          <w:numId w:val="14"/>
        </w:numPr>
        <w:spacing w:line="360" w:before="105" w:after="105" w:lineRule="auto"/>
      </w:pPr>
      <w:r>
        <w:rPr>
          <w:rFonts w:eastAsia="source serif 4" w:cs="source serif 4" w:ascii="source serif 4" w:hAnsi="source serif 4"/>
          <w:color w:val="000000"/>
          <w:sz w:val="21"/>
        </w:rPr>
        <w:t xml:space="preserve">Data governance frameworks protect rights while enabling responsible data use for AI.[</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color w:val="000000"/>
        </w:rPr>
        <w:t xml:space="preserve">These infrastructures amplify absorptive and generative capacities, making AI benefits more widely accessible and sustainable.</w:t>
      </w:r>
    </w:p>
    <w:p>
      <w:pPr>
        <w:spacing w:line="360" w:before="315" w:after="105" w:lineRule="auto"/>
        <w:ind w:left="-30"/>
        <w:jc w:val="left"/>
      </w:pPr>
      <w:bookmarkStart w:id="22" w:name="conclusion"/>
      <w:r>
        <w:rPr>
          <w:rFonts w:eastAsia="source serif 4" w:cs="source serif 4" w:ascii="source serif 4" w:hAnsi="source serif 4"/>
          <w:b/>
          <w:color w:val="000000"/>
          <w:sz w:val="24"/>
        </w:rPr>
        <w:t xml:space="preserve">Conclusion</w:t>
      </w:r>
      <w:bookmarkEnd w:id="22"/>
    </w:p>
    <w:p>
      <w:pPr>
        <w:spacing w:line="360" w:after="210" w:lineRule="auto"/>
      </w:pPr>
      <w:r>
        <w:rPr>
          <w:rFonts w:eastAsia="source serif 4" w:cs="source serif 4" w:ascii="source serif 4" w:hAnsi="source serif 4"/>
          <w:color w:val="000000"/>
        </w:rPr>
        <w:t xml:space="preserve">Capacity to benefit from AI cannot be adequately captured by monolithic stock metaphors or by absorptive receptivity alone. It is better understood as a constellation of dimensions: access to AI resources, absorptive capacity, indigenous and generative capabilities, institutional and safeguarding capacities, and digital public infrastructures.[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5][^7]</w:t>
      </w:r>
    </w:p>
    <w:p>
      <w:pPr>
        <w:spacing w:line="360" w:after="210" w:lineRule="auto"/>
      </w:pPr>
      <w:r>
        <w:rPr>
          <w:rFonts w:eastAsia="source serif 4" w:cs="source serif 4" w:ascii="source serif 4" w:hAnsi="source serif 4"/>
          <w:color w:val="000000"/>
        </w:rPr>
        <w:t xml:space="preserve">Within this constellation, absorptive capacity occupies a central position. It transforms access into meaningful learning and application, and recent work shows that AI reshapes absorptive processes and extends the construct through digital and AI‑specific dimensions. Yet absorption is an intermediary capability, not the ultimate objective. The overarching goal is to cultivate ecosystems that can selectively absorb, critically evaluate, and generatively transform AI in line with pluriversal visions of development.[</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1][^11]</w:t>
      </w:r>
    </w:p>
    <w:p>
      <w:pPr>
        <w:spacing w:line="360" w:after="210" w:lineRule="auto"/>
      </w:pPr>
      <w:r>
        <w:rPr>
          <w:rFonts w:eastAsia="source serif 4" w:cs="source serif 4" w:ascii="source serif 4" w:hAnsi="source serif 4"/>
          <w:color w:val="000000"/>
        </w:rPr>
        <w:t xml:space="preserve">Positioning absorptive capacity in this way clarifies both its importance and its limits. Access is necessary but not enough; absorption is essential but not sufficient. The capacity to benefit from AI ultimately lies in connected, generative, safeguarded ecosystems that enable societies to choose, contest, and co‑create AI trajectories aligned with their own values, knowledges, and aspirations.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ferences"/>
      <w:r>
        <w:rPr>
          <w:rFonts w:eastAsia="source serif 4" w:cs="source serif 4" w:ascii="source serif 4" w:hAnsi="source serif 4"/>
          <w:b/>
          <w:color w:val="000000"/>
          <w:sz w:val="24"/>
        </w:rPr>
        <w:t xml:space="preserve">References</w:t>
      </w:r>
      <w:bookmarkEnd w:id="23"/>
    </w:p>
    <w:p>
      <w:pPr>
        <w:numPr>
          <w:ilvl w:val="0"/>
          <w:numId w:val="15"/>
        </w:numPr>
        <w:spacing w:line="360" w:after="210" w:lineRule="auto"/>
      </w:pPr>
      <w:hyperlink r:id="rId5">
        <w:r>
          <w:rPr>
            <w:rFonts w:eastAsia="source sans 3" w:cs="source sans 3" w:ascii="source sans 3" w:hAnsi="source sans 3"/>
            <w:color w:val="#000"/>
            <w:sz w:val="21"/>
            <w:u w:val="single"/>
          </w:rPr>
          <w:t xml:space="preserve">Rethinking Absorptive Capacity in the Age of Artificial Intelligence</w:t>
        </w:r>
      </w:hyperlink>
      <w:r>
        <w:rPr>
          <w:rFonts w:eastAsia="source serif 4" w:cs="source serif 4" w:ascii="source serif 4" w:hAnsi="source serif 4"/>
          <w:color w:val="000000"/>
          <w:sz w:val="21"/>
        </w:rPr>
        <w:t xml:space="preserve"> - This study unravels the intricate relationship between AI and knowledge absorption. Specifically, it...</w:t>
      </w:r>
    </w:p>
    <w:p>
      <w:pPr>
        <w:numPr>
          <w:ilvl w:val="0"/>
          <w:numId w:val="15"/>
        </w:numPr>
        <w:spacing w:line="360" w:after="210" w:lineRule="auto"/>
      </w:pPr>
      <w:hyperlink r:id="rId6">
        <w:r>
          <w:rPr>
            <w:rFonts w:eastAsia="source sans 3" w:cs="source sans 3" w:ascii="source sans 3" w:hAnsi="source sans 3"/>
            <w:color w:val="#000"/>
            <w:sz w:val="21"/>
            <w:u w:val="single"/>
          </w:rPr>
          <w:t xml:space="preserve">The-objectives-of-technology.pdf</w:t>
        </w:r>
      </w:hyperlink>
      <w:r>
        <w:rPr>
          <w:rFonts w:eastAsia="source serif 4" w:cs="source serif 4" w:ascii="source serif 4" w:hAnsi="source serif 4"/>
          <w:color w:val="000000"/>
          <w:sz w:val="21"/>
        </w:rPr>
        <w:t xml:space="preserve"> - The objectives of technology policy Keith Pavitt The objectives of technology policy pp. 182-188 Kei...</w:t>
      </w:r>
    </w:p>
    <w:p>
      <w:pPr>
        <w:numPr>
          <w:ilvl w:val="0"/>
          <w:numId w:val="15"/>
        </w:numPr>
        <w:spacing w:line="360" w:after="210" w:lineRule="auto"/>
      </w:pPr>
      <w:hyperlink r:id="rId7">
        <w:r>
          <w:rPr>
            <w:rFonts w:eastAsia="source sans 3" w:cs="source sans 3" w:ascii="source sans 3" w:hAnsi="source sans 3"/>
            <w:color w:val="#000"/>
            <w:sz w:val="21"/>
            <w:u w:val="single"/>
          </w:rPr>
          <w:t xml:space="preserve">Assignment_2_-_Understanding_the_Policy_Making_process.docx</w:t>
        </w:r>
      </w:hyperlink>
      <w:r>
        <w:rPr>
          <w:rFonts w:eastAsia="source serif 4" w:cs="source serif 4" w:ascii="source serif 4" w:hAnsi="source serif 4"/>
          <w:color w:val="000000"/>
          <w:sz w:val="21"/>
        </w:rPr>
        <w:t xml:space="preserve"> - width0.8852460629921259in height0.8852460629921259in Sierra Leone Digital Development Policy Analysi...</w:t>
      </w:r>
    </w:p>
    <w:p>
      <w:pPr>
        <w:numPr>
          <w:ilvl w:val="0"/>
          <w:numId w:val="15"/>
        </w:numPr>
        <w:spacing w:line="360" w:after="210" w:lineRule="auto"/>
      </w:pPr>
      <w:hyperlink r:id="rId8">
        <w:r>
          <w:rPr>
            <w:rFonts w:eastAsia="source sans 3" w:cs="source sans 3" w:ascii="source sans 3" w:hAnsi="source sans 3"/>
            <w:color w:val="#000"/>
            <w:sz w:val="21"/>
            <w:u w:val="single"/>
          </w:rPr>
          <w:t xml:space="preserve">Final_Assignment_3_-_KPID.pdf</w:t>
        </w:r>
      </w:hyperlink>
      <w:r>
        <w:rPr>
          <w:rFonts w:eastAsia="source serif 4" w:cs="source serif 4" w:ascii="source serif 4" w:hAnsi="source serif 4"/>
          <w:color w:val="000000"/>
          <w:sz w:val="21"/>
        </w:rPr>
        <w:t xml:space="preserve"> - Assignment 3 - KPID-final 1 Assignment 3 - Policy brief Module Key perspectives in international dev...</w:t>
      </w:r>
    </w:p>
    <w:p>
      <w:pPr>
        <w:numPr>
          <w:ilvl w:val="0"/>
          <w:numId w:val="15"/>
        </w:numPr>
        <w:spacing w:line="360" w:after="210" w:lineRule="auto"/>
      </w:pPr>
      <w:hyperlink r:id="rId9">
        <w:r>
          <w:rPr>
            <w:rFonts w:eastAsia="source sans 3" w:cs="source sans 3" w:ascii="source sans 3" w:hAnsi="source sans 3"/>
            <w:color w:val="#000"/>
            <w:sz w:val="21"/>
            <w:u w:val="single"/>
          </w:rPr>
          <w:t xml:space="preserve">Assignment_2_-_Innovation_for_sustainability.docx</w:t>
        </w:r>
      </w:hyperlink>
      <w:r>
        <w:rPr>
          <w:rFonts w:eastAsia="source serif 4" w:cs="source serif 4" w:ascii="source serif 4" w:hAnsi="source serif 4"/>
          <w:color w:val="000000"/>
          <w:sz w:val="21"/>
        </w:rPr>
        <w:t xml:space="preserve"> - width0.8852460629921259in height0.8852460629921259in Policy brief Leveraging Grassroot innovations t...</w:t>
      </w:r>
    </w:p>
    <w:p>
      <w:pPr>
        <w:numPr>
          <w:ilvl w:val="0"/>
          <w:numId w:val="15"/>
        </w:numPr>
        <w:spacing w:line="360" w:after="210" w:lineRule="auto"/>
      </w:pPr>
      <w:hyperlink r:id="rId10">
        <w:r>
          <w:rPr>
            <w:rFonts w:eastAsia="source sans 3" w:cs="source sans 3" w:ascii="source sans 3" w:hAnsi="source sans 3"/>
            <w:color w:val="#000"/>
            <w:sz w:val="21"/>
            <w:u w:val="single"/>
          </w:rPr>
          <w:t xml:space="preserve">[PDF] Absorptive Capacity: A New Perspective on Learning and Innovation</w:t>
        </w:r>
      </w:hyperlink>
    </w:p>
    <w:p>
      <w:pPr>
        <w:numPr>
          <w:ilvl w:val="0"/>
          <w:numId w:val="15"/>
        </w:numPr>
        <w:spacing w:line="360" w:after="210" w:lineRule="auto"/>
      </w:pPr>
      <w:hyperlink r:id="rId11">
        <w:r>
          <w:rPr>
            <w:rFonts w:eastAsia="source sans 3" w:cs="source sans 3" w:ascii="source sans 3" w:hAnsi="source sans 3"/>
            <w:color w:val="#000"/>
            <w:sz w:val="21"/>
            <w:u w:val="single"/>
          </w:rPr>
          <w:t xml:space="preserve">Lall, 1992 - Technological Capabilities and Industrialization - World Development, V. 20, n. 2 , Pp. 165-186</w:t>
        </w:r>
      </w:hyperlink>
      <w:r>
        <w:rPr>
          <w:rFonts w:eastAsia="source serif 4" w:cs="source serif 4" w:ascii="source serif 4" w:hAnsi="source serif 4"/>
          <w:color w:val="000000"/>
          <w:sz w:val="21"/>
        </w:rPr>
        <w:t xml:space="preserve"> - This document reviews research on technological capabilities at the firm and national levels in deve...</w:t>
      </w:r>
    </w:p>
    <w:p>
      <w:pPr>
        <w:numPr>
          <w:ilvl w:val="0"/>
          <w:numId w:val="15"/>
        </w:numPr>
        <w:spacing w:line="360" w:after="210" w:lineRule="auto"/>
      </w:pPr>
      <w:hyperlink r:id="rId12">
        <w:r>
          <w:rPr>
            <w:rFonts w:eastAsia="source sans 3" w:cs="source sans 3" w:ascii="source sans 3" w:hAnsi="source sans 3"/>
            <w:color w:val="#000"/>
            <w:sz w:val="21"/>
            <w:u w:val="single"/>
          </w:rPr>
          <w:t xml:space="preserve">Microsoft Word - GDC - English</w:t>
        </w:r>
      </w:hyperlink>
    </w:p>
    <w:p>
      <w:pPr>
        <w:numPr>
          <w:ilvl w:val="0"/>
          <w:numId w:val="15"/>
        </w:numPr>
        <w:spacing w:line="360" w:after="210" w:lineRule="auto"/>
      </w:pPr>
      <w:hyperlink r:id="rId13">
        <w:r>
          <w:rPr>
            <w:rFonts w:eastAsia="source sans 3" w:cs="source sans 3" w:ascii="source sans 3" w:hAnsi="source sans 3"/>
            <w:color w:val="#000"/>
            <w:sz w:val="21"/>
            <w:u w:val="single"/>
          </w:rPr>
          <w:t xml:space="preserve">[PDF] Global Digital Compact - the United Nations</w:t>
        </w:r>
      </w:hyperlink>
    </w:p>
    <w:p>
      <w:pPr>
        <w:numPr>
          <w:ilvl w:val="0"/>
          <w:numId w:val="15"/>
        </w:numPr>
        <w:spacing w:line="360" w:after="210" w:lineRule="auto"/>
      </w:pPr>
      <w:hyperlink r:id="rId14">
        <w:r>
          <w:rPr>
            <w:rFonts w:eastAsia="source sans 3" w:cs="source sans 3" w:ascii="source sans 3" w:hAnsi="source sans 3"/>
            <w:color w:val="#000"/>
            <w:sz w:val="21"/>
            <w:u w:val="single"/>
          </w:rPr>
          <w:t xml:space="preserve">Absorptive Capacity: A New Perspective on Learning and Innovation.</w:t>
        </w:r>
      </w:hyperlink>
      <w:r>
        <w:rPr>
          <w:rFonts w:eastAsia="source serif 4" w:cs="source serif 4" w:ascii="source serif 4" w:hAnsi="source serif 4"/>
          <w:color w:val="000000"/>
          <w:sz w:val="21"/>
        </w:rPr>
        <w:t xml:space="preserve"> - Argues that ability of a firm to recognize value of new, external information, assimilate it, and ap...</w:t>
      </w:r>
    </w:p>
    <w:p>
      <w:pPr>
        <w:numPr>
          <w:ilvl w:val="0"/>
          <w:numId w:val="15"/>
        </w:numPr>
        <w:spacing w:line="360" w:after="210" w:lineRule="auto"/>
      </w:pPr>
      <w:hyperlink r:id="rId15">
        <w:r>
          <w:rPr>
            <w:rFonts w:eastAsia="source sans 3" w:cs="source sans 3" w:ascii="source sans 3" w:hAnsi="source sans 3"/>
            <w:color w:val="#000"/>
            <w:sz w:val="21"/>
            <w:u w:val="single"/>
          </w:rPr>
          <w:t xml:space="preserve">Role of Absorptive Capacity in driving Artificial Intelligence based ...</w:t>
        </w:r>
      </w:hyperlink>
      <w:r>
        <w:rPr>
          <w:rFonts w:eastAsia="source serif 4" w:cs="source serif 4" w:ascii="source serif 4" w:hAnsi="source serif 4"/>
          <w:color w:val="000000"/>
          <w:sz w:val="21"/>
        </w:rPr>
        <w:t xml:space="preserve"> - This study employed a semi‑systematic literature review of 34 articles to understand the specific ro...</w:t>
      </w:r>
    </w:p>
    <w:p>
      <w:pPr>
        <w:numPr>
          <w:ilvl w:val="0"/>
          <w:numId w:val="15"/>
        </w:numPr>
        <w:spacing w:line="360" w:after="210" w:lineRule="auto"/>
      </w:pPr>
      <w:hyperlink r:id="rId16">
        <w:r>
          <w:rPr>
            <w:rFonts w:eastAsia="source sans 3" w:cs="source sans 3" w:ascii="source sans 3" w:hAnsi="source sans 3"/>
            <w:color w:val="#000"/>
            <w:sz w:val="21"/>
            <w:u w:val="single"/>
          </w:rPr>
          <w:t xml:space="preserve">[PDF] Global Digital Compact Rev.4 dated 27 August 2024 - EuroDIG</w:t>
        </w:r>
      </w:hyperlink>
    </w:p>
    <w:p>
      <w:pPr>
        <w:numPr>
          <w:ilvl w:val="0"/>
          <w:numId w:val="15"/>
        </w:numPr>
        <w:spacing w:line="360" w:after="210" w:lineRule="auto"/>
      </w:pPr>
      <w:hyperlink r:id="rId17">
        <w:r>
          <w:rPr>
            <w:rFonts w:eastAsia="source sans 3" w:cs="source sans 3" w:ascii="source sans 3" w:hAnsi="source sans 3"/>
            <w:color w:val="#000"/>
            <w:sz w:val="21"/>
            <w:u w:val="single"/>
          </w:rPr>
          <w:t xml:space="preserve">A NOVEL APPROACH TO NATIONAL TECHNOLOGICAL ACCUMULATION AND ABSORPTIVE CAPACITY: AGGREGATING COHEN AND LEVINTHAL</w:t>
        </w:r>
      </w:hyperlink>
    </w:p>
    <w:p>
      <w:pPr>
        <w:numPr>
          <w:ilvl w:val="0"/>
          <w:numId w:val="15"/>
        </w:numPr>
        <w:spacing w:line="360" w:after="210" w:lineRule="auto"/>
      </w:pPr>
      <w:hyperlink r:id="rId18">
        <w:r>
          <w:rPr>
            <w:rFonts w:eastAsia="source sans 3" w:cs="source sans 3" w:ascii="source sans 3" w:hAnsi="source sans 3"/>
            <w:color w:val="#000"/>
            <w:sz w:val="21"/>
            <w:u w:val="single"/>
          </w:rPr>
          <w:t xml:space="preserve">Rethinking Absorptive Capacity in the Age of Artificial Intelligence by ...</w:t>
        </w:r>
      </w:hyperlink>
      <w:r>
        <w:rPr>
          <w:rFonts w:eastAsia="source serif 4" w:cs="source serif 4" w:ascii="source serif 4" w:hAnsi="source serif 4"/>
          <w:color w:val="000000"/>
          <w:sz w:val="21"/>
        </w:rPr>
        <w:t xml:space="preserve"> - Ultimately, this work seeks to reassert the relevance of absorptive capacity in the age of AI and de...</w:t>
      </w:r>
    </w:p>
    <w:p>
      <w:pPr>
        <w:numPr>
          <w:ilvl w:val="0"/>
          <w:numId w:val="15"/>
        </w:numPr>
        <w:spacing w:line="360" w:after="210" w:lineRule="auto"/>
      </w:pPr>
      <w:hyperlink r:id="rId19">
        <w:r>
          <w:rPr>
            <w:rFonts w:eastAsia="source sans 3" w:cs="source sans 3" w:ascii="source sans 3" w:hAnsi="source sans 3"/>
            <w:color w:val="#000"/>
            <w:sz w:val="21"/>
            <w:u w:val="single"/>
          </w:rPr>
          <w:t xml:space="preserve">Sustainable development with Artificial Intelligence: Examining the absorptive capacity pathways to green innovation - PubMed</w:t>
        </w:r>
      </w:hyperlink>
      <w:r>
        <w:rPr>
          <w:rFonts w:eastAsia="source serif 4" w:cs="source serif 4" w:ascii="source serif 4" w:hAnsi="source serif 4"/>
          <w:color w:val="000000"/>
          <w:sz w:val="21"/>
        </w:rPr>
        <w:t xml:space="preserve"> - Artificial intelligence holds a lot of promise in tackling global societal challenges. However, ther...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journals.aom.org/doi/full/10.5465/AMPROC.2024.16946abstract" TargetMode="External"/><Relationship Id="rId6" Type="http://schemas.openxmlformats.org/officeDocument/2006/relationships/hyperlink" Target="https://drive.google.com/file/d/1acK351TXgp0E53-bmiYfZgv_ke-VTeHF/view?usp=drivesdk" TargetMode="External"/><Relationship Id="rId7" Type="http://schemas.openxmlformats.org/officeDocument/2006/relationships/hyperlink" Target="https://docs.google.com/document/d/1OxwrXF51YAkjGlyyLjMk4tCepQ7a6934/edit?usp=drivesdk&amp;ouid=118078108299282218897&amp;rtpof=true&amp;sd=true" TargetMode="External"/><Relationship Id="rId8" Type="http://schemas.openxmlformats.org/officeDocument/2006/relationships/hyperlink" Target="https://drive.google.com/file/d/1p7s0q_LL3jsRVL_MPMkySZF2kYKSTzw1/view?usp=drivesdk" TargetMode="External"/><Relationship Id="rId9" Type="http://schemas.openxmlformats.org/officeDocument/2006/relationships/hyperlink" Target="https://docs.google.com/document/d/1rT4xcwb6uMwL9b80lAZxS_4NWkUJkXio/edit?usp=drivesdk&amp;ouid=118078108299282218897&amp;rtpof=true&amp;sd=true" TargetMode="External"/><Relationship Id="rId10" Type="http://schemas.openxmlformats.org/officeDocument/2006/relationships/hyperlink" Target="https://www.edegan.com/pdfs/Cohen%20Levinthal%20(1990)%20-%20Absorptive%20Capacity.pdf" TargetMode="External"/><Relationship Id="rId11" Type="http://schemas.openxmlformats.org/officeDocument/2006/relationships/hyperlink" Target="https://ro.scribd.com/document/111745276/Lall-1992-Technological-Capabilities-and-Industrialization-World-Development-V-20-n-2-Pp-165-186" TargetMode="External"/><Relationship Id="rId12" Type="http://schemas.openxmlformats.org/officeDocument/2006/relationships/hyperlink" Target="https://www.un.org/global-digital-compact/sites/default/files/2024-09/Global%20Digital%20Compact%20-%20English_0.pdf" TargetMode="External"/><Relationship Id="rId13" Type="http://schemas.openxmlformats.org/officeDocument/2006/relationships/hyperlink" Target="https://www.un.org/global-digital-compact/sites/default/files/2025-05/ToR%20and%20Modalities%20Rev%201%20(15%20May%202025).pdf" TargetMode="External"/><Relationship Id="rId14" Type="http://schemas.openxmlformats.org/officeDocument/2006/relationships/hyperlink" Target="https://eric.ed.gov/?id=EJ406851" TargetMode="External"/><Relationship Id="rId15" Type="http://schemas.openxmlformats.org/officeDocument/2006/relationships/hyperlink" Target="https://dalspace.library.dal.ca/items/2ac4bbab-0d33-4786-a000-71343d06ebd9" TargetMode="External"/><Relationship Id="rId16" Type="http://schemas.openxmlformats.org/officeDocument/2006/relationships/hyperlink" Target="https://www.eurodig.org/wp-content/uploads/2024/09/Global-Digital-Compact-update-on-Rev.4-and-Rev.5-changes-and-comment.pdf" TargetMode="External"/><Relationship Id="rId17" Type="http://schemas.openxmlformats.org/officeDocument/2006/relationships/hyperlink" Target="https://collections.unu.edu/eserv/UNU:1119/rm2002-016.pdf" TargetMode="External"/><Relationship Id="rId18" Type="http://schemas.openxmlformats.org/officeDocument/2006/relationships/hyperlink" Target="https://papers.ssrn.com/sol3/papers.cfm?abstract_id=4911343" TargetMode="External"/><Relationship Id="rId19" Type="http://schemas.openxmlformats.org/officeDocument/2006/relationships/hyperlink" Target="https://pubmed.ncbi.nlm.nih.gov/4019921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2026-07-10T02:14:13.269Z</dcterms:created>
  <dcterms:modified xsi:type="dcterms:W3CDTF">2026-07-10T02:14:13.269Z</dcterms:modified>
</cp:coreProperties>
</file>