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w:t>
      </w:r>
      <w:proofErr w:type="spellStart"/>
      <w:r w:rsidRPr="00410978">
        <w:rPr>
          <w:rFonts w:ascii="Trebuchet MS" w:hAnsi="Trebuchet MS"/>
          <w:caps w:val="0"/>
          <w:color w:val="0070C0"/>
          <w:sz w:val="40"/>
        </w:rPr>
        <w:t>Serious</w:t>
      </w:r>
      <w:proofErr w:type="spellEnd"/>
      <w:r w:rsidRPr="00410978">
        <w:rPr>
          <w:rFonts w:ascii="Trebuchet MS" w:hAnsi="Trebuchet MS"/>
          <w:caps w:val="0"/>
          <w:color w:val="0070C0"/>
          <w:sz w:val="40"/>
        </w:rPr>
        <w:t xml:space="preserve"> </w:t>
      </w:r>
      <w:proofErr w:type="spellStart"/>
      <w:r w:rsidRPr="00410978">
        <w:rPr>
          <w:rFonts w:ascii="Trebuchet MS" w:hAnsi="Trebuchet MS"/>
          <w:caps w:val="0"/>
          <w:color w:val="0070C0"/>
          <w:sz w:val="40"/>
        </w:rPr>
        <w:t>game</w:t>
      </w:r>
      <w:proofErr w:type="spellEnd"/>
      <w:r w:rsidRPr="00410978">
        <w:rPr>
          <w:rFonts w:ascii="Trebuchet MS" w:hAnsi="Trebuchet MS"/>
          <w:caps w:val="0"/>
          <w:color w:val="0070C0"/>
          <w:sz w:val="40"/>
        </w:rPr>
        <w:t xml:space="preserv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w:t>
      </w:r>
      <w:proofErr w:type="spellStart"/>
      <w:r w:rsidRPr="00851315">
        <w:rPr>
          <w:rFonts w:ascii="Trebuchet MS" w:hAnsi="Trebuchet MS"/>
          <w:caps w:val="0"/>
          <w:color w:val="auto"/>
          <w:sz w:val="40"/>
        </w:rPr>
        <w:t>serious</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game</w:t>
      </w:r>
      <w:proofErr w:type="spellEnd"/>
      <w:r w:rsidRPr="00851315">
        <w:rPr>
          <w:rFonts w:ascii="Trebuchet MS" w:hAnsi="Trebuchet MS"/>
          <w:caps w:val="0"/>
          <w:color w:val="auto"/>
          <w:sz w:val="40"/>
        </w:rPr>
        <w:t xml:space="preserve"> </w:t>
      </w:r>
      <w:r w:rsidR="00657937">
        <w:rPr>
          <w:rFonts w:ascii="Trebuchet MS" w:hAnsi="Trebuchet MS"/>
          <w:caps w:val="0"/>
          <w:color w:val="auto"/>
          <w:sz w:val="40"/>
        </w:rPr>
        <w:t>stands</w:t>
      </w:r>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between</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conventional</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teaching</w:t>
      </w:r>
      <w:proofErr w:type="spellEnd"/>
      <w:r w:rsidRPr="00851315">
        <w:rPr>
          <w:rFonts w:ascii="Trebuchet MS" w:hAnsi="Trebuchet MS"/>
          <w:caps w:val="0"/>
          <w:color w:val="auto"/>
          <w:sz w:val="40"/>
        </w:rPr>
        <w:t xml:space="preserve">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9429AC"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8664316" w:history="1">
            <w:r w:rsidR="009429AC" w:rsidRPr="00FD5B2E">
              <w:rPr>
                <w:rStyle w:val="Lienhypertexte"/>
                <w:noProof/>
              </w:rPr>
              <w:t>Résumé</w:t>
            </w:r>
            <w:r w:rsidR="009429AC">
              <w:rPr>
                <w:noProof/>
                <w:webHidden/>
              </w:rPr>
              <w:tab/>
            </w:r>
            <w:r w:rsidR="009429AC">
              <w:rPr>
                <w:noProof/>
                <w:webHidden/>
              </w:rPr>
              <w:fldChar w:fldCharType="begin"/>
            </w:r>
            <w:r w:rsidR="009429AC">
              <w:rPr>
                <w:noProof/>
                <w:webHidden/>
              </w:rPr>
              <w:instrText xml:space="preserve"> PAGEREF _Toc488664316 \h </w:instrText>
            </w:r>
            <w:r w:rsidR="009429AC">
              <w:rPr>
                <w:noProof/>
                <w:webHidden/>
              </w:rPr>
            </w:r>
            <w:r w:rsidR="009429AC">
              <w:rPr>
                <w:noProof/>
                <w:webHidden/>
              </w:rPr>
              <w:fldChar w:fldCharType="separate"/>
            </w:r>
            <w:r w:rsidR="009429AC">
              <w:rPr>
                <w:noProof/>
                <w:webHidden/>
              </w:rPr>
              <w:t>3</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17" w:history="1">
            <w:r w:rsidR="009429AC" w:rsidRPr="00FD5B2E">
              <w:rPr>
                <w:rStyle w:val="Lienhypertexte"/>
                <w:noProof/>
              </w:rPr>
              <w:t>Executive summary</w:t>
            </w:r>
            <w:r w:rsidR="009429AC">
              <w:rPr>
                <w:noProof/>
                <w:webHidden/>
              </w:rPr>
              <w:tab/>
            </w:r>
            <w:r w:rsidR="009429AC">
              <w:rPr>
                <w:noProof/>
                <w:webHidden/>
              </w:rPr>
              <w:fldChar w:fldCharType="begin"/>
            </w:r>
            <w:r w:rsidR="009429AC">
              <w:rPr>
                <w:noProof/>
                <w:webHidden/>
              </w:rPr>
              <w:instrText xml:space="preserve"> PAGEREF _Toc488664317 \h </w:instrText>
            </w:r>
            <w:r w:rsidR="009429AC">
              <w:rPr>
                <w:noProof/>
                <w:webHidden/>
              </w:rPr>
            </w:r>
            <w:r w:rsidR="009429AC">
              <w:rPr>
                <w:noProof/>
                <w:webHidden/>
              </w:rPr>
              <w:fldChar w:fldCharType="separate"/>
            </w:r>
            <w:r w:rsidR="009429AC">
              <w:rPr>
                <w:noProof/>
                <w:webHidden/>
              </w:rPr>
              <w:t>4</w:t>
            </w:r>
            <w:r w:rsidR="009429AC">
              <w:rPr>
                <w:noProof/>
                <w:webHidden/>
              </w:rPr>
              <w:fldChar w:fldCharType="end"/>
            </w:r>
          </w:hyperlink>
        </w:p>
        <w:p w:rsidR="009429AC" w:rsidRDefault="00295C71">
          <w:pPr>
            <w:pStyle w:val="TM1"/>
            <w:tabs>
              <w:tab w:val="left" w:pos="440"/>
              <w:tab w:val="right" w:leader="dot" w:pos="8296"/>
            </w:tabs>
            <w:rPr>
              <w:rFonts w:eastAsiaTheme="minorEastAsia"/>
              <w:noProof/>
              <w:color w:val="auto"/>
              <w:lang w:eastAsia="fr-FR"/>
            </w:rPr>
          </w:pPr>
          <w:hyperlink w:anchor="_Toc488664318" w:history="1">
            <w:r w:rsidR="009429AC" w:rsidRPr="00FD5B2E">
              <w:rPr>
                <w:rStyle w:val="Lienhypertexte"/>
                <w:noProof/>
              </w:rPr>
              <w:t>I.</w:t>
            </w:r>
            <w:r w:rsidR="009429AC">
              <w:rPr>
                <w:rFonts w:eastAsiaTheme="minorEastAsia"/>
                <w:noProof/>
                <w:color w:val="auto"/>
                <w:lang w:eastAsia="fr-FR"/>
              </w:rPr>
              <w:tab/>
            </w:r>
            <w:r w:rsidR="009429AC" w:rsidRPr="00FD5B2E">
              <w:rPr>
                <w:rStyle w:val="Lienhypertexte"/>
                <w:noProof/>
              </w:rPr>
              <w:t>Introduction</w:t>
            </w:r>
            <w:r w:rsidR="009429AC">
              <w:rPr>
                <w:noProof/>
                <w:webHidden/>
              </w:rPr>
              <w:tab/>
            </w:r>
            <w:r w:rsidR="009429AC">
              <w:rPr>
                <w:noProof/>
                <w:webHidden/>
              </w:rPr>
              <w:fldChar w:fldCharType="begin"/>
            </w:r>
            <w:r w:rsidR="009429AC">
              <w:rPr>
                <w:noProof/>
                <w:webHidden/>
              </w:rPr>
              <w:instrText xml:space="preserve"> PAGEREF _Toc488664318 \h </w:instrText>
            </w:r>
            <w:r w:rsidR="009429AC">
              <w:rPr>
                <w:noProof/>
                <w:webHidden/>
              </w:rPr>
            </w:r>
            <w:r w:rsidR="009429AC">
              <w:rPr>
                <w:noProof/>
                <w:webHidden/>
              </w:rPr>
              <w:fldChar w:fldCharType="separate"/>
            </w:r>
            <w:r w:rsidR="009429AC">
              <w:rPr>
                <w:noProof/>
                <w:webHidden/>
              </w:rPr>
              <w:t>5</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19" w:history="1">
            <w:r w:rsidR="009429AC" w:rsidRPr="00FD5B2E">
              <w:rPr>
                <w:rStyle w:val="Lienhypertexte"/>
                <w:noProof/>
              </w:rPr>
              <w:t>Entreprise d’accueil</w:t>
            </w:r>
            <w:r w:rsidR="009429AC">
              <w:rPr>
                <w:noProof/>
                <w:webHidden/>
              </w:rPr>
              <w:tab/>
            </w:r>
            <w:r w:rsidR="009429AC">
              <w:rPr>
                <w:noProof/>
                <w:webHidden/>
              </w:rPr>
              <w:fldChar w:fldCharType="begin"/>
            </w:r>
            <w:r w:rsidR="009429AC">
              <w:rPr>
                <w:noProof/>
                <w:webHidden/>
              </w:rPr>
              <w:instrText xml:space="preserve"> PAGEREF _Toc488664319 \h </w:instrText>
            </w:r>
            <w:r w:rsidR="009429AC">
              <w:rPr>
                <w:noProof/>
                <w:webHidden/>
              </w:rPr>
            </w:r>
            <w:r w:rsidR="009429AC">
              <w:rPr>
                <w:noProof/>
                <w:webHidden/>
              </w:rPr>
              <w:fldChar w:fldCharType="separate"/>
            </w:r>
            <w:r w:rsidR="009429AC">
              <w:rPr>
                <w:noProof/>
                <w:webHidden/>
              </w:rPr>
              <w:t>6</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0" w:history="1">
            <w:r w:rsidR="009429AC" w:rsidRPr="00FD5B2E">
              <w:rPr>
                <w:rStyle w:val="Lienhypertexte"/>
                <w:noProof/>
              </w:rPr>
              <w:t>Contexte projet</w:t>
            </w:r>
            <w:r w:rsidR="009429AC">
              <w:rPr>
                <w:noProof/>
                <w:webHidden/>
              </w:rPr>
              <w:tab/>
            </w:r>
            <w:r w:rsidR="009429AC">
              <w:rPr>
                <w:noProof/>
                <w:webHidden/>
              </w:rPr>
              <w:fldChar w:fldCharType="begin"/>
            </w:r>
            <w:r w:rsidR="009429AC">
              <w:rPr>
                <w:noProof/>
                <w:webHidden/>
              </w:rPr>
              <w:instrText xml:space="preserve"> PAGEREF _Toc488664320 \h </w:instrText>
            </w:r>
            <w:r w:rsidR="009429AC">
              <w:rPr>
                <w:noProof/>
                <w:webHidden/>
              </w:rPr>
            </w:r>
            <w:r w:rsidR="009429AC">
              <w:rPr>
                <w:noProof/>
                <w:webHidden/>
              </w:rPr>
              <w:fldChar w:fldCharType="separate"/>
            </w:r>
            <w:r w:rsidR="009429AC">
              <w:rPr>
                <w:noProof/>
                <w:webHidden/>
              </w:rPr>
              <w:t>8</w:t>
            </w:r>
            <w:r w:rsidR="009429AC">
              <w:rPr>
                <w:noProof/>
                <w:webHidden/>
              </w:rPr>
              <w:fldChar w:fldCharType="end"/>
            </w:r>
          </w:hyperlink>
        </w:p>
        <w:p w:rsidR="009429AC" w:rsidRDefault="00295C71">
          <w:pPr>
            <w:pStyle w:val="TM1"/>
            <w:tabs>
              <w:tab w:val="left" w:pos="440"/>
              <w:tab w:val="right" w:leader="dot" w:pos="8296"/>
            </w:tabs>
            <w:rPr>
              <w:rFonts w:eastAsiaTheme="minorEastAsia"/>
              <w:noProof/>
              <w:color w:val="auto"/>
              <w:lang w:eastAsia="fr-FR"/>
            </w:rPr>
          </w:pPr>
          <w:hyperlink w:anchor="_Toc488664321" w:history="1">
            <w:r w:rsidR="009429AC" w:rsidRPr="00FD5B2E">
              <w:rPr>
                <w:rStyle w:val="Lienhypertexte"/>
                <w:noProof/>
              </w:rPr>
              <w:t>II.</w:t>
            </w:r>
            <w:r w:rsidR="009429AC">
              <w:rPr>
                <w:rFonts w:eastAsiaTheme="minorEastAsia"/>
                <w:noProof/>
                <w:color w:val="auto"/>
                <w:lang w:eastAsia="fr-FR"/>
              </w:rPr>
              <w:tab/>
            </w:r>
            <w:r w:rsidR="009429AC" w:rsidRPr="00FD5B2E">
              <w:rPr>
                <w:rStyle w:val="Lienhypertexte"/>
                <w:noProof/>
              </w:rPr>
              <w:t>Etat de l’art</w:t>
            </w:r>
            <w:r w:rsidR="009429AC">
              <w:rPr>
                <w:noProof/>
                <w:webHidden/>
              </w:rPr>
              <w:tab/>
            </w:r>
            <w:r w:rsidR="009429AC">
              <w:rPr>
                <w:noProof/>
                <w:webHidden/>
              </w:rPr>
              <w:fldChar w:fldCharType="begin"/>
            </w:r>
            <w:r w:rsidR="009429AC">
              <w:rPr>
                <w:noProof/>
                <w:webHidden/>
              </w:rPr>
              <w:instrText xml:space="preserve"> PAGEREF _Toc488664321 \h </w:instrText>
            </w:r>
            <w:r w:rsidR="009429AC">
              <w:rPr>
                <w:noProof/>
                <w:webHidden/>
              </w:rPr>
            </w:r>
            <w:r w:rsidR="009429AC">
              <w:rPr>
                <w:noProof/>
                <w:webHidden/>
              </w:rPr>
              <w:fldChar w:fldCharType="separate"/>
            </w:r>
            <w:r w:rsidR="009429AC">
              <w:rPr>
                <w:noProof/>
                <w:webHidden/>
              </w:rPr>
              <w:t>11</w:t>
            </w:r>
            <w:r w:rsidR="009429AC">
              <w:rPr>
                <w:noProof/>
                <w:webHidden/>
              </w:rPr>
              <w:fldChar w:fldCharType="end"/>
            </w:r>
          </w:hyperlink>
        </w:p>
        <w:p w:rsidR="009429AC" w:rsidRDefault="00295C71">
          <w:pPr>
            <w:pStyle w:val="TM3"/>
            <w:tabs>
              <w:tab w:val="right" w:leader="dot" w:pos="8296"/>
            </w:tabs>
            <w:rPr>
              <w:rFonts w:eastAsiaTheme="minorEastAsia"/>
              <w:noProof/>
              <w:color w:val="auto"/>
              <w:lang w:eastAsia="fr-FR"/>
            </w:rPr>
          </w:pPr>
          <w:hyperlink w:anchor="_Toc488664322" w:history="1">
            <w:r w:rsidR="009429AC" w:rsidRPr="00FD5B2E">
              <w:rPr>
                <w:rStyle w:val="Lienhypertexte"/>
                <w:noProof/>
              </w:rPr>
              <w:t>Prélude :</w:t>
            </w:r>
            <w:r w:rsidR="009429AC">
              <w:rPr>
                <w:noProof/>
                <w:webHidden/>
              </w:rPr>
              <w:tab/>
            </w:r>
            <w:r w:rsidR="009429AC">
              <w:rPr>
                <w:noProof/>
                <w:webHidden/>
              </w:rPr>
              <w:fldChar w:fldCharType="begin"/>
            </w:r>
            <w:r w:rsidR="009429AC">
              <w:rPr>
                <w:noProof/>
                <w:webHidden/>
              </w:rPr>
              <w:instrText xml:space="preserve"> PAGEREF _Toc488664322 \h </w:instrText>
            </w:r>
            <w:r w:rsidR="009429AC">
              <w:rPr>
                <w:noProof/>
                <w:webHidden/>
              </w:rPr>
            </w:r>
            <w:r w:rsidR="009429AC">
              <w:rPr>
                <w:noProof/>
                <w:webHidden/>
              </w:rPr>
              <w:fldChar w:fldCharType="separate"/>
            </w:r>
            <w:r w:rsidR="009429AC">
              <w:rPr>
                <w:noProof/>
                <w:webHidden/>
              </w:rPr>
              <w:t>11</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3" w:history="1">
            <w:r w:rsidR="009429AC" w:rsidRPr="00FD5B2E">
              <w:rPr>
                <w:rStyle w:val="Lienhypertexte"/>
                <w:noProof/>
              </w:rPr>
              <w:t>Plan I/</w:t>
            </w:r>
            <w:r w:rsidR="009429AC">
              <w:rPr>
                <w:noProof/>
                <w:webHidden/>
              </w:rPr>
              <w:tab/>
            </w:r>
            <w:r w:rsidR="009429AC">
              <w:rPr>
                <w:noProof/>
                <w:webHidden/>
              </w:rPr>
              <w:fldChar w:fldCharType="begin"/>
            </w:r>
            <w:r w:rsidR="009429AC">
              <w:rPr>
                <w:noProof/>
                <w:webHidden/>
              </w:rPr>
              <w:instrText xml:space="preserve"> PAGEREF _Toc488664323 \h </w:instrText>
            </w:r>
            <w:r w:rsidR="009429AC">
              <w:rPr>
                <w:noProof/>
                <w:webHidden/>
              </w:rPr>
            </w:r>
            <w:r w:rsidR="009429AC">
              <w:rPr>
                <w:noProof/>
                <w:webHidden/>
              </w:rPr>
              <w:fldChar w:fldCharType="separate"/>
            </w:r>
            <w:r w:rsidR="009429AC">
              <w:rPr>
                <w:noProof/>
                <w:webHidden/>
              </w:rPr>
              <w:t>12</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4" w:history="1">
            <w:r w:rsidR="009429AC" w:rsidRPr="00FD5B2E">
              <w:rPr>
                <w:rStyle w:val="Lienhypertexte"/>
                <w:noProof/>
              </w:rPr>
              <w:t>Plan II/</w:t>
            </w:r>
            <w:r w:rsidR="009429AC">
              <w:rPr>
                <w:noProof/>
                <w:webHidden/>
              </w:rPr>
              <w:tab/>
            </w:r>
            <w:r w:rsidR="009429AC">
              <w:rPr>
                <w:noProof/>
                <w:webHidden/>
              </w:rPr>
              <w:fldChar w:fldCharType="begin"/>
            </w:r>
            <w:r w:rsidR="009429AC">
              <w:rPr>
                <w:noProof/>
                <w:webHidden/>
              </w:rPr>
              <w:instrText xml:space="preserve"> PAGEREF _Toc488664324 \h </w:instrText>
            </w:r>
            <w:r w:rsidR="009429AC">
              <w:rPr>
                <w:noProof/>
                <w:webHidden/>
              </w:rPr>
            </w:r>
            <w:r w:rsidR="009429AC">
              <w:rPr>
                <w:noProof/>
                <w:webHidden/>
              </w:rPr>
              <w:fldChar w:fldCharType="separate"/>
            </w:r>
            <w:r w:rsidR="009429AC">
              <w:rPr>
                <w:noProof/>
                <w:webHidden/>
              </w:rPr>
              <w:t>13</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5" w:history="1">
            <w:r w:rsidR="009429AC" w:rsidRPr="00FD5B2E">
              <w:rPr>
                <w:rStyle w:val="Lienhypertexte"/>
                <w:noProof/>
              </w:rPr>
              <w:t>Plan III/</w:t>
            </w:r>
            <w:r w:rsidR="009429AC">
              <w:rPr>
                <w:noProof/>
                <w:webHidden/>
              </w:rPr>
              <w:tab/>
            </w:r>
            <w:r w:rsidR="009429AC">
              <w:rPr>
                <w:noProof/>
                <w:webHidden/>
              </w:rPr>
              <w:fldChar w:fldCharType="begin"/>
            </w:r>
            <w:r w:rsidR="009429AC">
              <w:rPr>
                <w:noProof/>
                <w:webHidden/>
              </w:rPr>
              <w:instrText xml:space="preserve"> PAGEREF _Toc488664325 \h </w:instrText>
            </w:r>
            <w:r w:rsidR="009429AC">
              <w:rPr>
                <w:noProof/>
                <w:webHidden/>
              </w:rPr>
            </w:r>
            <w:r w:rsidR="009429AC">
              <w:rPr>
                <w:noProof/>
                <w:webHidden/>
              </w:rPr>
              <w:fldChar w:fldCharType="separate"/>
            </w:r>
            <w:r w:rsidR="009429AC">
              <w:rPr>
                <w:noProof/>
                <w:webHidden/>
              </w:rPr>
              <w:t>14</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6" w:history="1">
            <w:r w:rsidR="009429AC" w:rsidRPr="00FD5B2E">
              <w:rPr>
                <w:rStyle w:val="Lienhypertexte"/>
                <w:noProof/>
              </w:rPr>
              <w:t>Comparaison</w:t>
            </w:r>
            <w:r w:rsidR="009429AC">
              <w:rPr>
                <w:noProof/>
                <w:webHidden/>
              </w:rPr>
              <w:tab/>
            </w:r>
            <w:r w:rsidR="009429AC">
              <w:rPr>
                <w:noProof/>
                <w:webHidden/>
              </w:rPr>
              <w:fldChar w:fldCharType="begin"/>
            </w:r>
            <w:r w:rsidR="009429AC">
              <w:rPr>
                <w:noProof/>
                <w:webHidden/>
              </w:rPr>
              <w:instrText xml:space="preserve"> PAGEREF _Toc488664326 \h </w:instrText>
            </w:r>
            <w:r w:rsidR="009429AC">
              <w:rPr>
                <w:noProof/>
                <w:webHidden/>
              </w:rPr>
            </w:r>
            <w:r w:rsidR="009429AC">
              <w:rPr>
                <w:noProof/>
                <w:webHidden/>
              </w:rPr>
              <w:fldChar w:fldCharType="separate"/>
            </w:r>
            <w:r w:rsidR="009429AC">
              <w:rPr>
                <w:noProof/>
                <w:webHidden/>
              </w:rPr>
              <w:t>15</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27" w:history="1">
            <w:r w:rsidR="009429AC" w:rsidRPr="00FD5B2E">
              <w:rPr>
                <w:rStyle w:val="Lienhypertexte"/>
                <w:noProof/>
              </w:rPr>
              <w:t>Dimensions techniques du projet</w:t>
            </w:r>
            <w:r w:rsidR="009429AC">
              <w:rPr>
                <w:noProof/>
                <w:webHidden/>
              </w:rPr>
              <w:tab/>
            </w:r>
            <w:r w:rsidR="009429AC">
              <w:rPr>
                <w:noProof/>
                <w:webHidden/>
              </w:rPr>
              <w:fldChar w:fldCharType="begin"/>
            </w:r>
            <w:r w:rsidR="009429AC">
              <w:rPr>
                <w:noProof/>
                <w:webHidden/>
              </w:rPr>
              <w:instrText xml:space="preserve"> PAGEREF _Toc488664327 \h </w:instrText>
            </w:r>
            <w:r w:rsidR="009429AC">
              <w:rPr>
                <w:noProof/>
                <w:webHidden/>
              </w:rPr>
            </w:r>
            <w:r w:rsidR="009429AC">
              <w:rPr>
                <w:noProof/>
                <w:webHidden/>
              </w:rPr>
              <w:fldChar w:fldCharType="separate"/>
            </w:r>
            <w:r w:rsidR="009429AC">
              <w:rPr>
                <w:noProof/>
                <w:webHidden/>
              </w:rPr>
              <w:t>16</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28" w:history="1">
            <w:r w:rsidR="009429AC" w:rsidRPr="00FD5B2E">
              <w:rPr>
                <w:rStyle w:val="Lienhypertexte"/>
                <w:noProof/>
              </w:rPr>
              <w:t>Dimensions humaines et managériales internes à VISEO Technologies</w:t>
            </w:r>
            <w:r w:rsidR="009429AC">
              <w:rPr>
                <w:noProof/>
                <w:webHidden/>
              </w:rPr>
              <w:tab/>
            </w:r>
            <w:r w:rsidR="009429AC">
              <w:rPr>
                <w:noProof/>
                <w:webHidden/>
              </w:rPr>
              <w:fldChar w:fldCharType="begin"/>
            </w:r>
            <w:r w:rsidR="009429AC">
              <w:rPr>
                <w:noProof/>
                <w:webHidden/>
              </w:rPr>
              <w:instrText xml:space="preserve"> PAGEREF _Toc488664328 \h </w:instrText>
            </w:r>
            <w:r w:rsidR="009429AC">
              <w:rPr>
                <w:noProof/>
                <w:webHidden/>
              </w:rPr>
            </w:r>
            <w:r w:rsidR="009429AC">
              <w:rPr>
                <w:noProof/>
                <w:webHidden/>
              </w:rPr>
              <w:fldChar w:fldCharType="separate"/>
            </w:r>
            <w:r w:rsidR="009429AC">
              <w:rPr>
                <w:noProof/>
                <w:webHidden/>
              </w:rPr>
              <w:t>18</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29" w:history="1">
            <w:r w:rsidR="009429AC" w:rsidRPr="00FD5B2E">
              <w:rPr>
                <w:rStyle w:val="Lienhypertexte"/>
                <w:noProof/>
              </w:rPr>
              <w:t>Dimensions développement durable et responsabilité sociale et sociétale</w:t>
            </w:r>
            <w:r w:rsidR="009429AC">
              <w:rPr>
                <w:noProof/>
                <w:webHidden/>
              </w:rPr>
              <w:tab/>
            </w:r>
            <w:r w:rsidR="009429AC">
              <w:rPr>
                <w:noProof/>
                <w:webHidden/>
              </w:rPr>
              <w:fldChar w:fldCharType="begin"/>
            </w:r>
            <w:r w:rsidR="009429AC">
              <w:rPr>
                <w:noProof/>
                <w:webHidden/>
              </w:rPr>
              <w:instrText xml:space="preserve"> PAGEREF _Toc488664329 \h </w:instrText>
            </w:r>
            <w:r w:rsidR="009429AC">
              <w:rPr>
                <w:noProof/>
                <w:webHidden/>
              </w:rPr>
            </w:r>
            <w:r w:rsidR="009429AC">
              <w:rPr>
                <w:noProof/>
                <w:webHidden/>
              </w:rPr>
              <w:fldChar w:fldCharType="separate"/>
            </w:r>
            <w:r w:rsidR="009429AC">
              <w:rPr>
                <w:noProof/>
                <w:webHidden/>
              </w:rPr>
              <w:t>19</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30" w:history="1">
            <w:r w:rsidR="009429AC" w:rsidRPr="00FD5B2E">
              <w:rPr>
                <w:rStyle w:val="Lienhypertexte"/>
                <w:noProof/>
              </w:rPr>
              <w:t>Bilan</w:t>
            </w:r>
            <w:r w:rsidR="009429AC">
              <w:rPr>
                <w:noProof/>
                <w:webHidden/>
              </w:rPr>
              <w:tab/>
            </w:r>
            <w:r w:rsidR="009429AC">
              <w:rPr>
                <w:noProof/>
                <w:webHidden/>
              </w:rPr>
              <w:fldChar w:fldCharType="begin"/>
            </w:r>
            <w:r w:rsidR="009429AC">
              <w:rPr>
                <w:noProof/>
                <w:webHidden/>
              </w:rPr>
              <w:instrText xml:space="preserve"> PAGEREF _Toc488664330 \h </w:instrText>
            </w:r>
            <w:r w:rsidR="009429AC">
              <w:rPr>
                <w:noProof/>
                <w:webHidden/>
              </w:rPr>
            </w:r>
            <w:r w:rsidR="009429AC">
              <w:rPr>
                <w:noProof/>
                <w:webHidden/>
              </w:rPr>
              <w:fldChar w:fldCharType="separate"/>
            </w:r>
            <w:r w:rsidR="009429AC">
              <w:rPr>
                <w:noProof/>
                <w:webHidden/>
              </w:rPr>
              <w:t>20</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31" w:history="1">
            <w:r w:rsidR="009429AC" w:rsidRPr="00FD5B2E">
              <w:rPr>
                <w:rStyle w:val="Lienhypertexte"/>
                <w:noProof/>
              </w:rPr>
              <w:t>Bibliographie</w:t>
            </w:r>
            <w:r w:rsidR="009429AC">
              <w:rPr>
                <w:noProof/>
                <w:webHidden/>
              </w:rPr>
              <w:tab/>
            </w:r>
            <w:r w:rsidR="009429AC">
              <w:rPr>
                <w:noProof/>
                <w:webHidden/>
              </w:rPr>
              <w:fldChar w:fldCharType="begin"/>
            </w:r>
            <w:r w:rsidR="009429AC">
              <w:rPr>
                <w:noProof/>
                <w:webHidden/>
              </w:rPr>
              <w:instrText xml:space="preserve"> PAGEREF _Toc488664331 \h </w:instrText>
            </w:r>
            <w:r w:rsidR="009429AC">
              <w:rPr>
                <w:noProof/>
                <w:webHidden/>
              </w:rPr>
            </w:r>
            <w:r w:rsidR="009429AC">
              <w:rPr>
                <w:noProof/>
                <w:webHidden/>
              </w:rPr>
              <w:fldChar w:fldCharType="separate"/>
            </w:r>
            <w:r w:rsidR="009429AC">
              <w:rPr>
                <w:noProof/>
                <w:webHidden/>
              </w:rPr>
              <w:t>21</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32" w:history="1">
            <w:r w:rsidR="009429AC" w:rsidRPr="00FD5B2E">
              <w:rPr>
                <w:rStyle w:val="Lienhypertexte"/>
                <w:noProof/>
              </w:rPr>
              <w:t>Annexes</w:t>
            </w:r>
            <w:r w:rsidR="009429AC">
              <w:rPr>
                <w:noProof/>
                <w:webHidden/>
              </w:rPr>
              <w:tab/>
            </w:r>
            <w:r w:rsidR="009429AC">
              <w:rPr>
                <w:noProof/>
                <w:webHidden/>
              </w:rPr>
              <w:fldChar w:fldCharType="begin"/>
            </w:r>
            <w:r w:rsidR="009429AC">
              <w:rPr>
                <w:noProof/>
                <w:webHidden/>
              </w:rPr>
              <w:instrText xml:space="preserve"> PAGEREF _Toc488664332 \h </w:instrText>
            </w:r>
            <w:r w:rsidR="009429AC">
              <w:rPr>
                <w:noProof/>
                <w:webHidden/>
              </w:rPr>
            </w:r>
            <w:r w:rsidR="009429AC">
              <w:rPr>
                <w:noProof/>
                <w:webHidden/>
              </w:rPr>
              <w:fldChar w:fldCharType="separate"/>
            </w:r>
            <w:r w:rsidR="009429AC">
              <w:rPr>
                <w:noProof/>
                <w:webHidden/>
              </w:rPr>
              <w:t>22</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33" w:history="1">
            <w:r w:rsidR="009429AC" w:rsidRPr="00FD5B2E">
              <w:rPr>
                <w:rStyle w:val="Lienhypertexte"/>
                <w:noProof/>
              </w:rPr>
              <w:t>Glossaire</w:t>
            </w:r>
            <w:r w:rsidR="009429AC">
              <w:rPr>
                <w:noProof/>
                <w:webHidden/>
              </w:rPr>
              <w:tab/>
            </w:r>
            <w:r w:rsidR="009429AC">
              <w:rPr>
                <w:noProof/>
                <w:webHidden/>
              </w:rPr>
              <w:fldChar w:fldCharType="begin"/>
            </w:r>
            <w:r w:rsidR="009429AC">
              <w:rPr>
                <w:noProof/>
                <w:webHidden/>
              </w:rPr>
              <w:instrText xml:space="preserve"> PAGEREF _Toc488664333 \h </w:instrText>
            </w:r>
            <w:r w:rsidR="009429AC">
              <w:rPr>
                <w:noProof/>
                <w:webHidden/>
              </w:rPr>
            </w:r>
            <w:r w:rsidR="009429AC">
              <w:rPr>
                <w:noProof/>
                <w:webHidden/>
              </w:rPr>
              <w:fldChar w:fldCharType="separate"/>
            </w:r>
            <w:r w:rsidR="009429AC">
              <w:rPr>
                <w:noProof/>
                <w:webHidden/>
              </w:rPr>
              <w:t>23</w:t>
            </w:r>
            <w:r w:rsidR="009429AC">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8664316"/>
      <w:r>
        <w:lastRenderedPageBreak/>
        <w:t>Résumé</w:t>
      </w:r>
      <w:bookmarkEnd w:id="0"/>
    </w:p>
    <w:p w:rsidR="00E6333B" w:rsidRDefault="00E6333B">
      <w:r>
        <w:t xml:space="preserve">TODO 1 : </w:t>
      </w:r>
      <w:proofErr w:type="spellStart"/>
      <w:r>
        <w:t>I-Learning</w:t>
      </w:r>
      <w:proofErr w:type="spellEnd"/>
      <w:r>
        <w:t>, proof of concept SVG pour mot-clé Interactif</w:t>
      </w:r>
    </w:p>
    <w:p w:rsidR="00E6333B" w:rsidRDefault="00E6333B">
      <w:r>
        <w:t>TODO 2 : Formation « </w:t>
      </w:r>
      <w:proofErr w:type="spellStart"/>
      <w:r>
        <w:t>serious</w:t>
      </w:r>
      <w:proofErr w:type="spellEnd"/>
      <w:r>
        <w:t xml:space="preserve"> </w:t>
      </w:r>
      <w:proofErr w:type="spellStart"/>
      <w:r>
        <w:t>game</w:t>
      </w:r>
      <w:proofErr w:type="spellEnd"/>
      <w:r>
        <w:t> » collaborateurs entreprise</w:t>
      </w:r>
    </w:p>
    <w:p w:rsidR="00E6333B" w:rsidRDefault="00E6333B">
      <w:r>
        <w:t>TODO 3 &lt;-&gt; 1 : méthodes agiles</w:t>
      </w:r>
    </w:p>
    <w:p w:rsidR="006C3C06" w:rsidRDefault="00E6333B">
      <w:r>
        <w:t xml:space="preserve">TODO 4 : </w:t>
      </w:r>
      <w:r w:rsidR="006C3C06">
        <w:t>susciter attention, implication, intérêt dans apprentissage (formation, jeu …)</w:t>
      </w:r>
    </w:p>
    <w:p w:rsidR="005C66CB" w:rsidRDefault="006C3C06">
      <w:pPr>
        <w:rPr>
          <w:rFonts w:asciiTheme="majorHAnsi" w:eastAsiaTheme="majorEastAsia" w:hAnsiTheme="majorHAnsi" w:cstheme="majorBidi"/>
          <w:color w:val="007789" w:themeColor="accent1" w:themeShade="BF"/>
          <w:sz w:val="32"/>
        </w:rPr>
      </w:pPr>
      <w:r>
        <w:t xml:space="preserve">TODO 5 : </w:t>
      </w:r>
      <w:proofErr w:type="spellStart"/>
      <w:r>
        <w:t>serious</w:t>
      </w:r>
      <w:proofErr w:type="spellEnd"/>
      <w:r>
        <w:t xml:space="preserve"> </w:t>
      </w:r>
      <w:proofErr w:type="spellStart"/>
      <w:r>
        <w:t>game</w:t>
      </w:r>
      <w:proofErr w:type="spellEnd"/>
      <w:r>
        <w:t>, futur moyen d’éducation ?</w:t>
      </w:r>
      <w:r w:rsidR="005C66CB">
        <w:br w:type="page"/>
      </w:r>
    </w:p>
    <w:p w:rsidR="00276B99" w:rsidRDefault="005C66CB" w:rsidP="00AE2388">
      <w:pPr>
        <w:pStyle w:val="Titre1"/>
      </w:pPr>
      <w:bookmarkStart w:id="1" w:name="_Toc488664317"/>
      <w:proofErr w:type="spellStart"/>
      <w:r>
        <w:lastRenderedPageBreak/>
        <w:t>Executive</w:t>
      </w:r>
      <w:proofErr w:type="spellEnd"/>
      <w:r>
        <w:t xml:space="preserve"> </w:t>
      </w:r>
      <w:proofErr w:type="spellStart"/>
      <w:r>
        <w:t>summary</w:t>
      </w:r>
      <w:bookmarkEnd w:id="1"/>
      <w:proofErr w:type="spellEnd"/>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800306">
      <w:pPr>
        <w:pStyle w:val="Titre1"/>
        <w:numPr>
          <w:ilvl w:val="0"/>
          <w:numId w:val="17"/>
        </w:numPr>
      </w:pPr>
      <w:bookmarkStart w:id="2" w:name="_Toc488664318"/>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w:t>
      </w:r>
      <w:proofErr w:type="spellStart"/>
      <w:r>
        <w:t>Viseo</w:t>
      </w:r>
      <w:proofErr w:type="spellEnd"/>
      <w:r>
        <w:t xml:space="preserve">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proofErr w:type="spellStart"/>
      <w:r>
        <w:t>Viseo</w:t>
      </w:r>
      <w:proofErr w:type="spellEnd"/>
      <w:r>
        <w:t xml:space="preserve">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w:t>
      </w:r>
      <w:proofErr w:type="spellStart"/>
      <w:r w:rsidR="00C50900">
        <w:t>Serious</w:t>
      </w:r>
      <w:proofErr w:type="spellEnd"/>
      <w:r w:rsidR="00C50900">
        <w:t xml:space="preserve"> Game ».</w:t>
      </w:r>
    </w:p>
    <w:p w:rsidR="0030730B" w:rsidRPr="00723F3E" w:rsidRDefault="0030730B" w:rsidP="00EB5252">
      <w:r>
        <w:br w:type="page"/>
      </w:r>
    </w:p>
    <w:p w:rsidR="005C66CB" w:rsidRDefault="005C66CB" w:rsidP="003D7730">
      <w:pPr>
        <w:pStyle w:val="Titre2"/>
      </w:pPr>
      <w:bookmarkStart w:id="3" w:name="_Toc488664319"/>
      <w:r>
        <w:lastRenderedPageBreak/>
        <w:t>Entreprise d’accueil</w:t>
      </w:r>
      <w:bookmarkEnd w:id="3"/>
    </w:p>
    <w:p w:rsidR="00B21342" w:rsidRPr="008F517A" w:rsidRDefault="006C3C06">
      <w:pPr>
        <w:rPr>
          <w:strike/>
        </w:rPr>
      </w:pPr>
      <w:r w:rsidRPr="008F517A">
        <w:rPr>
          <w:strike/>
        </w:rPr>
        <w:t>TODO 1 : VISEO technologies créé en 19</w:t>
      </w:r>
      <w:r w:rsidR="00B21342" w:rsidRPr="008F517A">
        <w:rPr>
          <w:strike/>
        </w:rPr>
        <w:t>99</w:t>
      </w:r>
    </w:p>
    <w:p w:rsidR="00B21342" w:rsidRPr="008F517A" w:rsidRDefault="00B21342">
      <w:pPr>
        <w:rPr>
          <w:strike/>
        </w:rPr>
      </w:pPr>
      <w:r w:rsidRPr="008F517A">
        <w:rPr>
          <w:strike/>
        </w:rPr>
        <w:tab/>
        <w:t>ESN multi spécialisée</w:t>
      </w:r>
    </w:p>
    <w:p w:rsidR="00B21342" w:rsidRPr="005D2FD3" w:rsidRDefault="00B21342">
      <w:pPr>
        <w:rPr>
          <w:strike/>
        </w:rPr>
      </w:pPr>
      <w:r w:rsidRPr="005D2FD3">
        <w:rPr>
          <w:strike/>
        </w:rPr>
        <w:t>TODO 2 : activité regroupée sur projets Agile</w:t>
      </w:r>
    </w:p>
    <w:p w:rsidR="00B21342" w:rsidRDefault="00B21342">
      <w:r>
        <w:t>TODO 3 : volonté extension Internationale</w:t>
      </w:r>
    </w:p>
    <w:p w:rsidR="00B21342" w:rsidRPr="00D46C21" w:rsidRDefault="00B21342">
      <w:pPr>
        <w:rPr>
          <w:strike/>
        </w:rPr>
      </w:pPr>
      <w:r w:rsidRPr="00D46C21">
        <w:rPr>
          <w:strike/>
        </w:rPr>
        <w:t xml:space="preserve">TODO 4 : Business unit </w:t>
      </w:r>
      <w:proofErr w:type="gramStart"/>
      <w:r w:rsidRPr="00D46C21">
        <w:rPr>
          <w:strike/>
        </w:rPr>
        <w:t>(</w:t>
      </w:r>
      <w:r w:rsidR="002D7EE9" w:rsidRPr="00D46C21">
        <w:rPr>
          <w:strike/>
        </w:rPr>
        <w:t xml:space="preserve"> </w:t>
      </w:r>
      <w:r w:rsidR="00FB5AB7" w:rsidRPr="00D46C21">
        <w:rPr>
          <w:strike/>
        </w:rPr>
        <w:t>…</w:t>
      </w:r>
      <w:proofErr w:type="gramEnd"/>
      <w:r w:rsidR="00FB5AB7" w:rsidRPr="00D46C21">
        <w:rPr>
          <w:strike/>
        </w:rPr>
        <w:t xml:space="preserve"> )</w:t>
      </w:r>
    </w:p>
    <w:p w:rsidR="006C7C8F" w:rsidRDefault="006C7C8F">
      <w:r>
        <w:t>TODO 5 : organisation</w:t>
      </w:r>
    </w:p>
    <w:p w:rsidR="006C7C8F" w:rsidRDefault="006C7C8F">
      <w:r>
        <w:t>TODO 6 : organigramme</w:t>
      </w:r>
    </w:p>
    <w:p w:rsidR="006C7C8F" w:rsidRDefault="006C7C8F">
      <w:r>
        <w:t xml:space="preserve">TODO 7 : position hiérarchique (stagiaire études </w:t>
      </w:r>
      <w:proofErr w:type="gramStart"/>
      <w:r>
        <w:t>dev )</w:t>
      </w:r>
      <w:proofErr w:type="gramEnd"/>
    </w:p>
    <w:p w:rsidR="00FB5AB7" w:rsidRDefault="00FB5AB7">
      <w:r>
        <w:tab/>
        <w:t>VISEO est une société de conseil et de services, créé</w:t>
      </w:r>
      <w:r w:rsidR="00E26228">
        <w:t>e</w:t>
      </w:r>
      <w:r>
        <w:t xml:space="preserve"> en 1999</w:t>
      </w:r>
      <w:r w:rsidR="00E26228">
        <w:t xml:space="preserve"> </w:t>
      </w:r>
      <w:r w:rsidR="00E26228" w:rsidRPr="00E26228">
        <w:t xml:space="preserve">par Olivier </w:t>
      </w:r>
      <w:proofErr w:type="spellStart"/>
      <w:r w:rsidR="00E26228" w:rsidRPr="00E26228">
        <w:t>Dhonte</w:t>
      </w:r>
      <w:proofErr w:type="spellEnd"/>
      <w:r w:rsidR="00E26228" w:rsidRPr="00E26228">
        <w:t xml:space="preserv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AA1A7E">
      <w:pPr>
        <w:pStyle w:val="Lgende"/>
        <w:jc w:val="center"/>
      </w:pPr>
      <w:r>
        <w:t xml:space="preserve">Figure </w:t>
      </w:r>
      <w:fldSimple w:instr=" SEQ Figure \* ARABIC ">
        <w:r w:rsidR="001D3A2E">
          <w:rPr>
            <w:noProof/>
          </w:rPr>
          <w:t>1</w:t>
        </w:r>
      </w:fldSimple>
      <w:r>
        <w:t xml:space="preserve"> – Evolution du groupe VISEO depuis sa création</w:t>
      </w:r>
    </w:p>
    <w:p w:rsidR="00AA1A7E" w:rsidRDefault="00AA1A7E" w:rsidP="00AA1A7E"/>
    <w:p w:rsidR="000077F4" w:rsidRDefault="000077F4" w:rsidP="00AA1A7E">
      <w:r>
        <w:lastRenderedPageBreak/>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9A0445" w:rsidP="00AA1A7E">
      <w:r>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5C66CB" w:rsidRPr="00793012"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 xml:space="preserve">(Android, iOS, HTML5, JavaScript, etc.) </w:t>
      </w:r>
      <w:r w:rsidR="00DB2C54">
        <w:t>ainsi que dans les architectures objets</w:t>
      </w:r>
      <w:r w:rsidR="00C75F32">
        <w:t xml:space="preserve"> (Java, JEE, .Net)</w:t>
      </w:r>
      <w:r w:rsidR="006125B0">
        <w:t xml:space="preserve"> : elle accompagne ses clients via l’Assistance à Maîtrise d’Ouvrage (AMOA), délivre </w:t>
      </w:r>
      <w:r w:rsidR="00C75F32">
        <w:t>ses projets agiles</w:t>
      </w:r>
      <w:r w:rsidR="004E2C6A">
        <w:t xml:space="preserve"> </w:t>
      </w:r>
      <w:r w:rsidR="00F27418">
        <w:t>dans le respect de ses engagements avec la culture et l’expérience des nouvelles technologies.</w:t>
      </w:r>
      <w:r w:rsidR="00F27418">
        <w:br/>
        <w:t xml:space="preserve">C’est au sein de cette branche d’activité que j’ai réalisé mon stage en </w:t>
      </w:r>
      <w:r w:rsidR="00021677">
        <w:t>tant qu’Ingénieur Etude et Développement full-stack JavaScript au sein de la practice Web / Java.</w:t>
      </w:r>
      <w:r w:rsidR="00021677">
        <w:br/>
      </w:r>
      <w:r w:rsidR="00021677">
        <w:br/>
        <w:t>(..)</w:t>
      </w:r>
      <w:r w:rsidR="005C66CB">
        <w:br w:type="page"/>
      </w:r>
    </w:p>
    <w:p w:rsidR="00E54282" w:rsidRDefault="005C66CB" w:rsidP="003D7730">
      <w:pPr>
        <w:pStyle w:val="Titre2"/>
      </w:pPr>
      <w:bookmarkStart w:id="4" w:name="_Toc488664320"/>
      <w:r>
        <w:lastRenderedPageBreak/>
        <w:t>Contexte projet</w:t>
      </w:r>
      <w:bookmarkEnd w:id="4"/>
    </w:p>
    <w:p w:rsidR="0009555D" w:rsidRDefault="00FA5928" w:rsidP="00E54282">
      <w:r>
        <w:t xml:space="preserve">TODO 9 : </w:t>
      </w:r>
      <w:r w:rsidRPr="00582367">
        <w:rPr>
          <w:strike/>
        </w:rPr>
        <w:t>missions confiées</w:t>
      </w:r>
      <w:r>
        <w:t xml:space="preserve"> et planification</w:t>
      </w:r>
    </w:p>
    <w:p w:rsidR="008E5AD0" w:rsidRDefault="001D7B97" w:rsidP="00E54282">
      <w:r>
        <w:tab/>
        <w:t xml:space="preserve">Le projet </w:t>
      </w:r>
      <w:proofErr w:type="spellStart"/>
      <w:r>
        <w:t>I-Learning</w:t>
      </w:r>
      <w:proofErr w:type="spellEnd"/>
      <w:r>
        <w:t xml:space="preserve">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w:t>
      </w:r>
      <w:proofErr w:type="spellStart"/>
      <w:r>
        <w:t>I-Learning</w:t>
      </w:r>
      <w:proofErr w:type="spellEnd"/>
      <w:r>
        <w:t xml:space="preserve">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proofErr w:type="spellStart"/>
      <w:r w:rsidR="00A37602" w:rsidRPr="00A37602">
        <w:rPr>
          <w:b/>
        </w:rPr>
        <w:t>front-end</w:t>
      </w:r>
      <w:proofErr w:type="spellEnd"/>
      <w:r w:rsidR="00A37602">
        <w:t xml:space="preserve"> nous utilisons le </w:t>
      </w:r>
      <w:r w:rsidR="00A37602">
        <w:rPr>
          <w:b/>
        </w:rPr>
        <w:t xml:space="preserve">JavaScript </w:t>
      </w:r>
      <w:r w:rsidR="00A37602">
        <w:t xml:space="preserve">et côté </w:t>
      </w:r>
      <w:proofErr w:type="spellStart"/>
      <w:r w:rsidR="00A37602" w:rsidRPr="00A37602">
        <w:rPr>
          <w:b/>
        </w:rPr>
        <w:t>back-end</w:t>
      </w:r>
      <w:proofErr w:type="spellEnd"/>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projet (</w:t>
      </w:r>
      <w:r w:rsidR="008E5AD0">
        <w:rPr>
          <w:color w:val="FF0000"/>
        </w:rPr>
        <w:t>TODO : à revoir)</w:t>
      </w:r>
    </w:p>
    <w:p w:rsidR="00501A26" w:rsidRPr="00063C56" w:rsidRDefault="00063C56" w:rsidP="00063C56">
      <w:pPr>
        <w:ind w:firstLine="720"/>
      </w:pPr>
      <w:r w:rsidRPr="00063C56">
        <w:t xml:space="preserve">Pour commencer, </w:t>
      </w:r>
      <w:r>
        <w:t xml:space="preserve">nous devions nous mettre à jour pour disposer d’un environnement de développement adapté au projet. </w:t>
      </w:r>
      <w:r w:rsidR="00E1267E">
        <w:br/>
        <w:t xml:space="preserve">Etant donné que nous utilisons une distribution Windows,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br/>
        <w:t xml:space="preserve">Par la suite, nous avons intégré </w:t>
      </w:r>
      <w:r>
        <w:rPr>
          <w:b/>
        </w:rPr>
        <w:t xml:space="preserve">l’IDE </w:t>
      </w:r>
      <w:proofErr w:type="spellStart"/>
      <w:r>
        <w:t>WebStorm</w:t>
      </w:r>
      <w:proofErr w:type="spellEnd"/>
      <w:r>
        <w:t xml:space="preserve"> de la suite </w:t>
      </w:r>
      <w:proofErr w:type="spellStart"/>
      <w:r>
        <w:t>JetBrains</w:t>
      </w:r>
      <w:proofErr w:type="spellEnd"/>
      <w:r>
        <w:t xml:space="preserve"> qui est le principal outil de développement utilisé chez VISEO Technologies.</w:t>
      </w:r>
      <w:r w:rsidR="00B74741">
        <w:br/>
        <w:t xml:space="preserve">Nous avons également pour objectif de réaliser des tests unitaires avec une couverture de code à 100%, à la fois pour </w:t>
      </w:r>
      <w:r w:rsidR="00BF6F4C">
        <w:t>produire du code de qualité et qui permet de se protéger le plus possible contre les régressions mais également être capable de se démarquer de la concurrence de fait que le code apporté est fiable.</w:t>
      </w:r>
      <w:r w:rsidR="00BF6F4C">
        <w:br/>
        <w:t xml:space="preserve">C’est pour cette raison que nous utilisons le </w:t>
      </w:r>
      <w:proofErr w:type="spellStart"/>
      <w:r w:rsidR="00BF6F4C">
        <w:rPr>
          <w:b/>
        </w:rPr>
        <w:t>framework</w:t>
      </w:r>
      <w:proofErr w:type="spellEnd"/>
      <w:r w:rsidR="00BF6F4C">
        <w:rPr>
          <w:b/>
        </w:rPr>
        <w:t xml:space="preserve">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w:t>
      </w:r>
      <w:proofErr w:type="spellStart"/>
      <w:r w:rsidR="00095BC9">
        <w:rPr>
          <w:b/>
        </w:rPr>
        <w:t>coverage</w:t>
      </w:r>
      <w:proofErr w:type="spellEnd"/>
      <w:r w:rsidR="00095BC9">
        <w:rPr>
          <w:b/>
        </w:rPr>
        <w:t xml:space="preserve"> </w:t>
      </w:r>
      <w:r w:rsidR="00095BC9">
        <w:t>en ligne de commande et sous format HTML pour plus de simplicité.</w:t>
      </w:r>
      <w:r>
        <w:b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r w:rsidR="00A37602">
        <w:br/>
      </w:r>
    </w:p>
    <w:p w:rsidR="008E5AD0" w:rsidRDefault="00DB6C2D" w:rsidP="008E5AD0">
      <w:pPr>
        <w:ind w:firstLine="720"/>
      </w:pPr>
      <w:r w:rsidRPr="00063C56">
        <w:lastRenderedPageBreak/>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 xml:space="preserve">Proxy Product </w:t>
      </w:r>
      <w:proofErr w:type="spellStart"/>
      <w:r w:rsidRPr="00901F79">
        <w:rPr>
          <w:b/>
        </w:rPr>
        <w:t>Owner</w:t>
      </w:r>
      <w:proofErr w:type="spellEnd"/>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E90189">
        <w:br/>
        <w:t xml:space="preserve">Henri nous avait donné comme consigne de respecter nos engagements et de réaliser le nombre de points sur lesquels nous étions fixés à chaque </w:t>
      </w:r>
      <w:r w:rsidR="00E90189" w:rsidRPr="00E90189">
        <w:rPr>
          <w:b/>
        </w:rPr>
        <w:t>Sprint</w:t>
      </w:r>
      <w:r w:rsidR="00E90189">
        <w:rPr>
          <w:b/>
        </w:rPr>
        <w:t>.</w:t>
      </w:r>
      <w:r w:rsidR="00E90189">
        <w:rPr>
          <w:b/>
        </w:rPr>
        <w:br/>
      </w:r>
      <w:r w:rsidR="00E90189">
        <w:t xml:space="preserve">Concernant le groupe </w:t>
      </w:r>
      <w:proofErr w:type="spellStart"/>
      <w:r w:rsidR="00E90189">
        <w:t>I-Learning</w:t>
      </w:r>
      <w:proofErr w:type="spellEnd"/>
      <w:r w:rsidR="00E90189">
        <w:t xml:space="preserve">, ces engagements ont été tenus du premier jusqu’au dernier </w:t>
      </w:r>
      <w:r w:rsidR="00E90189">
        <w:rPr>
          <w:b/>
        </w:rPr>
        <w:t xml:space="preserve">Sprint </w:t>
      </w:r>
      <w:r w:rsidR="00E90189">
        <w:t xml:space="preserve">et à chaque </w:t>
      </w:r>
      <w:r w:rsidR="00E90189">
        <w:rPr>
          <w:b/>
        </w:rPr>
        <w:t xml:space="preserve">Sprint </w:t>
      </w:r>
      <w:proofErr w:type="spellStart"/>
      <w:r w:rsidR="00E90189">
        <w:rPr>
          <w:b/>
        </w:rPr>
        <w:t>Review</w:t>
      </w:r>
      <w:proofErr w:type="spellEnd"/>
      <w:r w:rsidR="00E90189">
        <w:rPr>
          <w:b/>
        </w:rPr>
        <w:t xml:space="preserve">,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 xml:space="preserve">Test Driven </w:t>
      </w:r>
      <w:proofErr w:type="spellStart"/>
      <w:r w:rsidR="00BF6F4C">
        <w:rPr>
          <w:b/>
        </w:rPr>
        <w:t>Development</w:t>
      </w:r>
      <w:proofErr w:type="spellEnd"/>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r w:rsidR="003E1DAF" w:rsidRPr="008B6A3A">
        <w:rPr>
          <w:i/>
        </w:rPr>
        <w:t>Entreprise qui se démarque dans ses processus de formation et qui innove dans les méthodes d’accompagnement des collaborateurs</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Par ailleurs, la technologie SVG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lastRenderedPageBreak/>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 xml:space="preserve">Enfin, l’architecture du projet permettra éventuellement d’implémenter de nouveaux types de jeux qui s’intègreront aux jeux existants, dans le cas où </w:t>
      </w:r>
      <w:proofErr w:type="spellStart"/>
      <w:r>
        <w:t>I-Learning</w:t>
      </w:r>
      <w:proofErr w:type="spellEnd"/>
      <w:r>
        <w:t xml:space="preserve"> serait proposé comme mission de stage.</w:t>
      </w:r>
    </w:p>
    <w:p w:rsidR="00F429F5" w:rsidRDefault="001A14E8" w:rsidP="00E54282">
      <w:r>
        <w:t>TODO : éviter formations longues / épuisantes =&gt; futur proche, utilisation DRH recrutements +</w:t>
      </w:r>
      <w:r w:rsidR="00F429F5">
        <w:t xml:space="preserve"> POC pour ouvrir un marché possible </w:t>
      </w:r>
      <w:r w:rsidR="00F429F5">
        <w:br/>
        <w:t xml:space="preserve">TODO 2 : bon investissement pour VISEO, si production, exploitation possible pour un return on </w:t>
      </w:r>
      <w:proofErr w:type="spellStart"/>
      <w:r w:rsidR="00F429F5">
        <w:t>investment</w:t>
      </w:r>
      <w:proofErr w:type="spellEnd"/>
      <w:r w:rsidR="00F429F5">
        <w:t xml:space="preserve"> car moins de formations à gérer</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p>
    <w:p w:rsidR="00582367" w:rsidRDefault="00582367" w:rsidP="00E54282">
      <w:r>
        <w:tab/>
        <w:t>Mon st</w:t>
      </w:r>
      <w:r w:rsidR="0043396B">
        <w:t>age a débuté le 13 février 2017 et s’est achevé le 11 août 2017</w:t>
      </w:r>
    </w:p>
    <w:p w:rsidR="005C66CB" w:rsidRDefault="00D463F8" w:rsidP="00E54282">
      <w:r>
        <w:tab/>
      </w:r>
      <w:r>
        <w:tab/>
      </w:r>
      <w:r w:rsidR="005C66CB">
        <w:br w:type="page"/>
      </w:r>
    </w:p>
    <w:p w:rsidR="0030730B" w:rsidRDefault="00800306" w:rsidP="00800306">
      <w:pPr>
        <w:pStyle w:val="Titre1"/>
        <w:ind w:firstLine="720"/>
      </w:pPr>
      <w:bookmarkStart w:id="5" w:name="_Toc488664321"/>
      <w:r>
        <w:lastRenderedPageBreak/>
        <w:t>II.</w:t>
      </w:r>
      <w:r>
        <w:tab/>
      </w:r>
      <w:r w:rsidR="0030730B">
        <w:t>Etat de l’art</w:t>
      </w:r>
      <w:bookmarkEnd w:id="5"/>
    </w:p>
    <w:p w:rsidR="00E64990" w:rsidRDefault="00E64990" w:rsidP="00E64990">
      <w:pPr>
        <w:pStyle w:val="Titre3"/>
      </w:pPr>
      <w:bookmarkStart w:id="6" w:name="_Toc488664322"/>
      <w:r>
        <w:t>Prélude :</w:t>
      </w:r>
      <w:bookmarkEnd w:id="6"/>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 xml:space="preserve">La solution que j’étudie est le « </w:t>
      </w:r>
      <w:proofErr w:type="spellStart"/>
      <w:r>
        <w:t>Serious</w:t>
      </w:r>
      <w:proofErr w:type="spellEnd"/>
      <w:r>
        <w:t xml:space="preserve">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w:t>
      </w:r>
      <w:proofErr w:type="spellStart"/>
      <w:r>
        <w:t>Serious</w:t>
      </w:r>
      <w:proofErr w:type="spellEnd"/>
      <w:r>
        <w:t xml:space="preserve">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w:t>
      </w:r>
      <w:proofErr w:type="spellStart"/>
      <w:r>
        <w:t>Serious</w:t>
      </w:r>
      <w:proofErr w:type="spellEnd"/>
      <w:r>
        <w:t xml:space="preserve">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 xml:space="preserve">Dans le cas d’une entreprise de services numérique comme VISEO Technologies, le projet </w:t>
      </w:r>
      <w:proofErr w:type="spellStart"/>
      <w:r>
        <w:t>I-Learning</w:t>
      </w:r>
      <w:proofErr w:type="spellEnd"/>
      <w:r>
        <w:t xml:space="preserve"> est un « </w:t>
      </w:r>
      <w:proofErr w:type="spellStart"/>
      <w:r>
        <w:t>Serious</w:t>
      </w:r>
      <w:proofErr w:type="spellEnd"/>
      <w:r>
        <w:t xml:space="preserve">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A travers cet état de l’art, on s’intéressera à la place du « </w:t>
      </w:r>
      <w:proofErr w:type="spellStart"/>
      <w:r>
        <w:t>Serious</w:t>
      </w:r>
      <w:proofErr w:type="spellEnd"/>
      <w:r>
        <w:t xml:space="preserve">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9429AC">
      <w:pPr>
        <w:pStyle w:val="Titre2"/>
      </w:pPr>
      <w:bookmarkStart w:id="7" w:name="_Toc488664323"/>
      <w:r>
        <w:lastRenderedPageBreak/>
        <w:t>Plan I/</w:t>
      </w:r>
      <w:bookmarkEnd w:id="7"/>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9429AC">
      <w:pPr>
        <w:pStyle w:val="Titre2"/>
      </w:pPr>
      <w:bookmarkStart w:id="8" w:name="_Toc488664324"/>
      <w:r>
        <w:lastRenderedPageBreak/>
        <w:t>Plan II/</w:t>
      </w:r>
      <w:bookmarkEnd w:id="8"/>
    </w:p>
    <w:p w:rsidR="001454E3" w:rsidRPr="001454E3" w:rsidRDefault="001454E3" w:rsidP="001454E3">
      <w:pPr>
        <w:rPr>
          <w:strike/>
        </w:rPr>
      </w:pPr>
      <w:r w:rsidRPr="001454E3">
        <w:rPr>
          <w:strike/>
        </w:rPr>
        <w:t xml:space="preserve">TODO 1 : Return on </w:t>
      </w:r>
      <w:proofErr w:type="spellStart"/>
      <w:r w:rsidRPr="001454E3">
        <w:rPr>
          <w:strike/>
        </w:rPr>
        <w:t>investment</w:t>
      </w:r>
      <w:proofErr w:type="spellEnd"/>
    </w:p>
    <w:p w:rsidR="001454E3" w:rsidRDefault="001454E3" w:rsidP="001454E3">
      <w:r>
        <w:t>TODO 2 : Avantages</w:t>
      </w:r>
    </w:p>
    <w:p w:rsidR="001454E3" w:rsidRDefault="001454E3" w:rsidP="001454E3">
      <w:r>
        <w:t>TODO 3 : Inconvénients / limites</w:t>
      </w:r>
    </w:p>
    <w:p w:rsidR="001454E3" w:rsidRDefault="001454E3" w:rsidP="001454E3">
      <w:r>
        <w:t xml:space="preserve">TODO 4 : </w:t>
      </w:r>
      <w:proofErr w:type="gramStart"/>
      <w:r>
        <w:t>Intérêts ,</w:t>
      </w:r>
      <w:proofErr w:type="gramEnd"/>
      <w:r>
        <w:t xml:space="preserve"> buts</w:t>
      </w:r>
    </w:p>
    <w:p w:rsidR="001454E3" w:rsidRDefault="001454E3" w:rsidP="001454E3">
      <w:r>
        <w:t>TODO 5 : Qui utilise ?</w:t>
      </w:r>
    </w:p>
    <w:p w:rsidR="001454E3" w:rsidRDefault="001454E3" w:rsidP="001454E3">
      <w:r>
        <w:t>TODO 6 : Pour qui ?</w:t>
      </w:r>
    </w:p>
    <w:p w:rsidR="001454E3" w:rsidRDefault="001454E3" w:rsidP="001454E3">
      <w:r>
        <w:t xml:space="preserve">TODO 7 : Evolution historique (ex MOOC =&gt; tuto =&gt; </w:t>
      </w:r>
      <w:proofErr w:type="gramStart"/>
      <w:r>
        <w:t>vidéos )</w:t>
      </w:r>
      <w:proofErr w:type="gramEnd"/>
    </w:p>
    <w:p w:rsidR="001454E3" w:rsidRDefault="001454E3" w:rsidP="001454E3">
      <w:r>
        <w:tab/>
      </w:r>
      <w:proofErr w:type="spellStart"/>
      <w:r>
        <w:t>Serious</w:t>
      </w:r>
      <w:proofErr w:type="spellEnd"/>
      <w:r>
        <w:t xml:space="preserve"> </w:t>
      </w:r>
      <w:proofErr w:type="spellStart"/>
      <w:r>
        <w:t>game</w:t>
      </w:r>
      <w:proofErr w:type="spellEnd"/>
      <w:r>
        <w:t xml:space="preserv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9429AC">
      <w:pPr>
        <w:pStyle w:val="Titre2"/>
      </w:pPr>
      <w:bookmarkStart w:id="9" w:name="_Toc488664325"/>
      <w:r>
        <w:lastRenderedPageBreak/>
        <w:t>Plan III/</w:t>
      </w:r>
      <w:bookmarkEnd w:id="9"/>
    </w:p>
    <w:p w:rsidR="001454E3" w:rsidRDefault="001454E3">
      <w:r>
        <w:t>TODO 1 : Quiz / QCM</w:t>
      </w:r>
    </w:p>
    <w:p w:rsidR="001454E3" w:rsidRDefault="001454E3">
      <w:r>
        <w:t>TODO 2 : Poupée (</w:t>
      </w:r>
      <w:proofErr w:type="spellStart"/>
      <w:r>
        <w:t>I-learning</w:t>
      </w:r>
      <w:proofErr w:type="spellEnd"/>
      <w:r>
        <w:t>)</w:t>
      </w:r>
    </w:p>
    <w:p w:rsidR="001454E3" w:rsidRDefault="001454E3">
      <w:r>
        <w:t xml:space="preserve">TODO 3 : Coding </w:t>
      </w:r>
      <w:proofErr w:type="spellStart"/>
      <w:r>
        <w:t>game</w:t>
      </w:r>
      <w:proofErr w:type="spellEnd"/>
    </w:p>
    <w:p w:rsidR="001454E3" w:rsidRDefault="001454E3">
      <w:pPr>
        <w:rPr>
          <w:rFonts w:asciiTheme="majorHAnsi" w:eastAsiaTheme="majorEastAsia" w:hAnsiTheme="majorHAnsi" w:cstheme="majorBidi"/>
          <w:color w:val="007789" w:themeColor="accent1" w:themeShade="BF"/>
          <w:sz w:val="32"/>
        </w:rPr>
      </w:pPr>
      <w:r>
        <w:t xml:space="preserve">TODO 4 : </w:t>
      </w:r>
      <w:proofErr w:type="spellStart"/>
      <w:r>
        <w:t>Serious</w:t>
      </w:r>
      <w:proofErr w:type="spellEnd"/>
      <w:r>
        <w:t xml:space="preserve"> </w:t>
      </w:r>
      <w:proofErr w:type="spellStart"/>
      <w:r>
        <w:t>game</w:t>
      </w:r>
      <w:proofErr w:type="spellEnd"/>
      <w:r>
        <w:t xml:space="preserve"> entreprise (ESIEA =&gt; mineure managériale)</w:t>
      </w:r>
      <w:r>
        <w:br w:type="page"/>
      </w:r>
    </w:p>
    <w:p w:rsidR="00C139B0" w:rsidRDefault="001454E3" w:rsidP="009429AC">
      <w:pPr>
        <w:pStyle w:val="Titre2"/>
      </w:pPr>
      <w:bookmarkStart w:id="10" w:name="_Toc488664326"/>
      <w:r>
        <w:lastRenderedPageBreak/>
        <w:t>Comparaison</w:t>
      </w:r>
      <w:bookmarkEnd w:id="10"/>
    </w:p>
    <w:p w:rsidR="001454E3" w:rsidRDefault="001454E3">
      <w:r>
        <w:t xml:space="preserve">TODO 1 : traditionnel et </w:t>
      </w:r>
      <w:proofErr w:type="spellStart"/>
      <w:r>
        <w:t>Serious</w:t>
      </w:r>
      <w:proofErr w:type="spellEnd"/>
      <w:r>
        <w:t xml:space="preserve"> </w:t>
      </w:r>
      <w:proofErr w:type="spellStart"/>
      <w:r>
        <w:t>game</w:t>
      </w:r>
      <w:proofErr w:type="spellEnd"/>
    </w:p>
    <w:p w:rsidR="001454E3" w:rsidRDefault="001454E3">
      <w:r>
        <w:t xml:space="preserve">TODO 2 : </w:t>
      </w:r>
      <w:proofErr w:type="spellStart"/>
      <w:r>
        <w:t>Serious</w:t>
      </w:r>
      <w:proofErr w:type="spellEnd"/>
      <w:r>
        <w:t xml:space="preserve"> </w:t>
      </w:r>
      <w:proofErr w:type="spellStart"/>
      <w:r>
        <w:t>game</w:t>
      </w:r>
      <w:proofErr w:type="spellEnd"/>
      <w:r>
        <w:t xml:space="preserv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150CF8" w:rsidRDefault="00C139B0" w:rsidP="00AE2388">
      <w:pPr>
        <w:pStyle w:val="Titre1"/>
      </w:pPr>
      <w:bookmarkStart w:id="11" w:name="_Toc488664327"/>
      <w:r>
        <w:lastRenderedPageBreak/>
        <w:t>Dimensions techniques du projet</w:t>
      </w:r>
      <w:bookmarkEnd w:id="11"/>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732B29">
        <w:br/>
        <w:t>Comme mentionné dans le contexte du projet, nous avons r</w:t>
      </w:r>
      <w:r w:rsidR="00CF16DE">
        <w:t xml:space="preserve">écupéré le travail effectué par un groupe d’anciens stagiaires de VISEO Technologies qui ont établi une première base </w:t>
      </w:r>
      <w:r w:rsidR="00026BDD">
        <w:t xml:space="preserve">au projet </w:t>
      </w:r>
      <w:proofErr w:type="spellStart"/>
      <w:r w:rsidR="00026BDD">
        <w:t>I-Learning</w:t>
      </w:r>
      <w:proofErr w:type="spellEnd"/>
      <w:r w:rsidR="00026BDD">
        <w:t>.</w:t>
      </w:r>
      <w:r w:rsidR="005F10DB">
        <w:br/>
      </w:r>
      <w:r w:rsidR="00036643">
        <w:t>(TODO : répétition </w:t>
      </w:r>
      <w:proofErr w:type="gramStart"/>
      <w:r w:rsidR="00036643">
        <w:t>? )</w:t>
      </w:r>
      <w:proofErr w:type="gramEnd"/>
      <w:r w:rsidR="00036643">
        <w:t xml:space="preserve">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 xml:space="preserve">Du côté des tests unitaires, ce sont le </w:t>
      </w:r>
      <w:proofErr w:type="spellStart"/>
      <w:r w:rsidR="00036643">
        <w:t>framework</w:t>
      </w:r>
      <w:proofErr w:type="spellEnd"/>
      <w:r w:rsidR="00036643">
        <w:t xml:space="preserve"> Mocha et la librairie Istanbul JS qui sont utilisés </w:t>
      </w:r>
      <w:proofErr w:type="gramStart"/>
      <w:r w:rsidR="00036643">
        <w:t>( TOCHECK</w:t>
      </w:r>
      <w:proofErr w:type="gramEnd"/>
      <w:r w:rsidR="00036643">
        <w:t xml:space="preserve">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F0612A">
        <w:rPr>
          <w:color w:val="007DEB" w:themeColor="background2" w:themeShade="80"/>
        </w:rPr>
        <w:b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w:t>
      </w:r>
      <w:proofErr w:type="spellStart"/>
      <w:r w:rsidR="002A5FFA">
        <w:rPr>
          <w:color w:val="007DEB" w:themeColor="background2" w:themeShade="80"/>
        </w:rPr>
        <w:t>Codeship</w:t>
      </w:r>
      <w:proofErr w:type="spellEnd"/>
      <w:r w:rsidR="002A5FFA">
        <w:rPr>
          <w:color w:val="007DEB" w:themeColor="background2" w:themeShade="80"/>
        </w:rPr>
        <w:t xml:space="preserve"> et ce dernier </w:t>
      </w:r>
      <w:r w:rsidR="00A21E2E">
        <w:rPr>
          <w:color w:val="007DEB" w:themeColor="background2" w:themeShade="80"/>
        </w:rPr>
        <w:t>est compatible avec GitHub notamment.</w:t>
      </w:r>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6A0A22" w:rsidRPr="00F0612A">
        <w:rPr>
          <w:color w:val="003E75" w:themeColor="background2" w:themeShade="40"/>
        </w:rPr>
        <w:t xml:space="preserve"> être certain qu’il fonctionne.</w:t>
      </w:r>
      <w:r w:rsidR="006A0A22" w:rsidRPr="00F0612A">
        <w:rPr>
          <w:color w:val="003E75" w:themeColor="background2" w:themeShade="40"/>
        </w:rPr>
        <w:br/>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6A0A22" w:rsidRPr="00F0612A">
        <w:rPr>
          <w:color w:val="003E75" w:themeColor="background2" w:themeShade="40"/>
        </w:rPr>
        <w:b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t>TODO 1 : travaux contribution</w:t>
      </w:r>
      <w:r w:rsidR="00404E3A">
        <w:t xml:space="preserve"> 1) tests unitaires</w:t>
      </w:r>
      <w:r w:rsidR="003A48BB">
        <w:t xml:space="preserve"> </w:t>
      </w:r>
      <w:r w:rsidR="00404E3A">
        <w:t xml:space="preserve">2) </w:t>
      </w:r>
      <w:proofErr w:type="spellStart"/>
      <w:r w:rsidR="00404E3A">
        <w:t>QuizAdmin</w:t>
      </w:r>
      <w:proofErr w:type="spellEnd"/>
      <w:r w:rsidR="00732B29">
        <w:t xml:space="preserve"> Vue</w:t>
      </w:r>
      <w:r w:rsidR="00404E3A">
        <w:t xml:space="preserve"> 3) Sauvegarde Modèle données Quiz &amp; partie Doll 4) règles poupée 5) </w:t>
      </w:r>
      <w:r w:rsidR="008D2939">
        <w:t xml:space="preserve">(front) récupération mot de </w:t>
      </w:r>
      <w:r w:rsidR="008D2939">
        <w:lastRenderedPageBreak/>
        <w:t xml:space="preserve">passe oublié 6) </w:t>
      </w:r>
      <w:r w:rsidR="008D2939" w:rsidRPr="001F6ECB">
        <w:rPr>
          <w:strike/>
        </w:rPr>
        <w:t xml:space="preserve">Refonte </w:t>
      </w:r>
      <w:r w:rsidR="008D2939">
        <w:t xml:space="preserve">&amp; </w:t>
      </w:r>
      <w:proofErr w:type="spellStart"/>
      <w:r w:rsidR="008D2939">
        <w:t>Refactor</w:t>
      </w:r>
      <w:proofErr w:type="spellEnd"/>
      <w:r w:rsidR="008D2939">
        <w:t xml:space="preserve"> du code 7) Résolution de bugs</w:t>
      </w:r>
      <w:r w:rsidR="00D162D0">
        <w:t xml:space="preserve"> 8) Responsive </w:t>
      </w:r>
      <w:proofErr w:type="spellStart"/>
      <w:r w:rsidR="00D162D0">
        <w:t>windows</w:t>
      </w:r>
      <w:proofErr w:type="spellEnd"/>
      <w:r w:rsidR="00732B29">
        <w:t xml:space="preserve"> 9) Test Driven </w:t>
      </w:r>
      <w:proofErr w:type="spellStart"/>
      <w:r w:rsidR="00732B29">
        <w:t>Development</w:t>
      </w:r>
      <w:proofErr w:type="spellEnd"/>
    </w:p>
    <w:p w:rsidR="00A4474C" w:rsidRDefault="008F3E66">
      <w:r>
        <w:t xml:space="preserve">TODO 2 : </w:t>
      </w:r>
      <w:r w:rsidR="00732B29">
        <w:t>Planification des travaux (agile … Imprévisible)</w:t>
      </w:r>
    </w:p>
    <w:p w:rsidR="00A4474C" w:rsidRDefault="00A4474C">
      <w:r>
        <w:t>TODO 3 : Rôle sein équipe</w:t>
      </w:r>
      <w:r w:rsidR="008D2939">
        <w:t xml:space="preserve"> </w:t>
      </w:r>
      <w:proofErr w:type="gramStart"/>
      <w:r w:rsidR="008D2939">
        <w:t>( Scrum</w:t>
      </w:r>
      <w:proofErr w:type="gramEnd"/>
      <w:r w:rsidR="008D2939">
        <w:t xml:space="preserve"> Master x 3 sprints + </w:t>
      </w:r>
      <w:proofErr w:type="spellStart"/>
      <w:r w:rsidR="008D2939">
        <w:t>dév</w:t>
      </w:r>
      <w:proofErr w:type="spellEnd"/>
      <w:r w:rsidR="008D2939">
        <w:t xml:space="preserve"> )</w:t>
      </w:r>
    </w:p>
    <w:p w:rsidR="0086166D" w:rsidRDefault="00E97743">
      <w:r>
        <w:t>Sprint 2 – 6 – 11</w:t>
      </w:r>
    </w:p>
    <w:p w:rsidR="001D3A2E" w:rsidRDefault="005D1B05" w:rsidP="001D3A2E">
      <w:pPr>
        <w:keepNext/>
      </w:pPr>
      <w:r>
        <w:rPr>
          <w:noProof/>
        </w:rPr>
        <w:drawing>
          <wp:inline distT="0" distB="0" distL="0" distR="0">
            <wp:extent cx="2671612" cy="3352800"/>
            <wp:effectExtent l="0" t="0" r="0" b="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3898" cy="3355669"/>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Pr>
            <w:noProof/>
          </w:rPr>
          <w:t>2</w:t>
        </w:r>
      </w:fldSimple>
    </w:p>
    <w:p w:rsidR="001D3A2E" w:rsidRDefault="005D1B05" w:rsidP="001D3A2E">
      <w:pPr>
        <w:keepNext/>
      </w:pPr>
      <w:r>
        <w:rPr>
          <w:noProof/>
        </w:rPr>
        <w:lastRenderedPageBreak/>
        <w:drawing>
          <wp:inline distT="0" distB="0" distL="0" distR="0">
            <wp:extent cx="2577465" cy="3352607"/>
            <wp:effectExtent l="0" t="0" r="0" b="635"/>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6088" cy="3363823"/>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Pr>
            <w:noProof/>
          </w:rPr>
          <w:t>3</w:t>
        </w:r>
      </w:fldSimple>
    </w:p>
    <w:p w:rsidR="001D3A2E" w:rsidRDefault="001D3A2E" w:rsidP="001D3A2E">
      <w:pPr>
        <w:keepNext/>
      </w:pPr>
      <w:r>
        <w:rPr>
          <w:noProof/>
        </w:rPr>
        <w:drawing>
          <wp:inline distT="0" distB="0" distL="0" distR="0">
            <wp:extent cx="3047626" cy="4067175"/>
            <wp:effectExtent l="0" t="0" r="635" b="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792" cy="4068731"/>
                    </a:xfrm>
                    <a:prstGeom prst="rect">
                      <a:avLst/>
                    </a:prstGeom>
                    <a:noFill/>
                    <a:ln>
                      <a:noFill/>
                    </a:ln>
                  </pic:spPr>
                </pic:pic>
              </a:graphicData>
            </a:graphic>
          </wp:inline>
        </w:drawing>
      </w:r>
    </w:p>
    <w:p w:rsidR="005D1B05" w:rsidRDefault="001D3A2E" w:rsidP="001D3A2E">
      <w:pPr>
        <w:pStyle w:val="Lgende"/>
      </w:pPr>
      <w:r>
        <w:t xml:space="preserve">Figure </w:t>
      </w:r>
      <w:fldSimple w:instr=" SEQ Figure \* ARABIC ">
        <w:r>
          <w:rPr>
            <w:noProof/>
          </w:rPr>
          <w:t>4</w:t>
        </w:r>
      </w:fldSimple>
    </w:p>
    <w:p w:rsidR="00E97743" w:rsidRDefault="00AA4BE1">
      <w:r>
        <w:t>Dictés par</w:t>
      </w:r>
      <w:r w:rsidR="00E97743">
        <w:t xml:space="preserve"> la méthode agile Scrum, une des personnes de l’équipe de développement doit tenir le rôle de Scrum Master : cela ne veut pas forcément dire que son rôle au sein </w:t>
      </w:r>
      <w:r w:rsidR="00E97743">
        <w:lastRenderedPageBreak/>
        <w:t>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w:t>
      </w:r>
      <w:proofErr w:type="spellStart"/>
      <w:r w:rsidR="002376BA">
        <w:t>Review</w:t>
      </w:r>
      <w:proofErr w:type="spellEnd"/>
      <w:r w:rsidR="002376BA">
        <w:t xml:space="preserve"> et Sprint Rétro. </w:t>
      </w:r>
      <w:r w:rsidR="00C12FC2">
        <w:br/>
        <w:t xml:space="preserve">Concernant le projet </w:t>
      </w:r>
      <w:proofErr w:type="spellStart"/>
      <w:r w:rsidR="00C12FC2">
        <w:t>I-Learning</w:t>
      </w:r>
      <w:proofErr w:type="spellEnd"/>
      <w:r w:rsidR="00C12FC2">
        <w:t xml:space="preserve">, nous avons décidé qu’à chaque itération, le rôle de Scrum Master s’échangerait entre chaque membre de l’équipe pour que chacun et chacune ait une expérience de Scrum </w:t>
      </w:r>
      <w:proofErr w:type="spellStart"/>
      <w:r w:rsidR="00C12FC2">
        <w:t>Mastering</w:t>
      </w:r>
      <w:proofErr w:type="spellEnd"/>
      <w:r w:rsidR="00C12FC2">
        <w:t xml:space="preserve">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 xml:space="preserve">n’étions pas certains de continuer le projet </w:t>
      </w:r>
      <w:proofErr w:type="spellStart"/>
      <w:r w:rsidR="00F53AB9">
        <w:t>I-Learning</w:t>
      </w:r>
      <w:proofErr w:type="spellEnd"/>
      <w:r w:rsidR="00F53AB9">
        <w:t>.</w:t>
      </w:r>
      <w:r w:rsidR="00F53AB9">
        <w:br/>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F7166A">
        <w:br/>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2" w:name="_Toc488664328"/>
      <w:r>
        <w:lastRenderedPageBreak/>
        <w:t>Dimensions humaines et managériales internes à VISEO Technologies</w:t>
      </w:r>
      <w:bookmarkEnd w:id="12"/>
    </w:p>
    <w:p w:rsidR="005A4963" w:rsidRDefault="005A4963">
      <w:r>
        <w:t>TODO 1 : méthodes agiles</w:t>
      </w:r>
    </w:p>
    <w:p w:rsidR="005A4963" w:rsidRDefault="005A4963">
      <w:r>
        <w:t xml:space="preserve">TODO 2 : Mentor / </w:t>
      </w:r>
      <w:proofErr w:type="spellStart"/>
      <w:r>
        <w:t>Mentii</w:t>
      </w:r>
      <w:proofErr w:type="spellEnd"/>
      <w:r>
        <w:t xml:space="preserve"> (8 max)</w:t>
      </w:r>
    </w:p>
    <w:p w:rsidR="005A4963" w:rsidRDefault="00026BDD">
      <w:r>
        <w:t>TODO 3 : BBL</w:t>
      </w:r>
      <w:r w:rsidR="005A4963">
        <w:t>, ateliers, présentations, « </w:t>
      </w:r>
      <w:proofErr w:type="spellStart"/>
      <w:r w:rsidR="005A4963">
        <w:t>Refresh</w:t>
      </w:r>
      <w:proofErr w:type="spellEnd"/>
      <w:r w:rsidR="005A4963">
        <w:t>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5C66CB">
      <w:pPr>
        <w:pStyle w:val="Titre1"/>
      </w:pPr>
      <w:bookmarkStart w:id="13" w:name="_Toc488664329"/>
      <w:r>
        <w:lastRenderedPageBreak/>
        <w:t>Dimensions développement durable et responsabilité sociale et sociétale</w:t>
      </w:r>
      <w:bookmarkEnd w:id="13"/>
    </w:p>
    <w:p w:rsidR="005C66CB" w:rsidRPr="002144D6" w:rsidRDefault="000C6893" w:rsidP="000C6893">
      <w:pPr>
        <w:pStyle w:val="Titre2"/>
      </w:pPr>
      <w:r>
        <w:t>Environnement</w:t>
      </w:r>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1"/>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2144D6">
        <w:br/>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l’espace soit éclairé en permanence.</w:t>
      </w:r>
      <w:r w:rsidR="002144D6">
        <w:br/>
        <w:t>Par la suite, nous disposons de fontaines à eau dans la plupart des étages avec à disposition des gobelets en plastique pour favoriser le recyclage des déchets.</w:t>
      </w:r>
      <w:r w:rsidR="002144D6">
        <w:br/>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 xml:space="preserve">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w:t>
      </w:r>
      <w:proofErr w:type="spellStart"/>
      <w:r>
        <w:t>Jitsi</w:t>
      </w:r>
      <w:proofErr w:type="spellEnd"/>
      <w:r>
        <w:t>)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w:t>
      </w:r>
      <w:r>
        <w:lastRenderedPageBreak/>
        <w:t xml:space="preserve">une carte bancaire : cela réduit la consommation en papier de manière considérable si l’on considère chaque collaborateur de l’entreprise qui en bénéficie. </w:t>
      </w:r>
    </w:p>
    <w:p w:rsidR="00AB1C80" w:rsidRDefault="00AB1C80" w:rsidP="000C6893">
      <w:pPr>
        <w:pStyle w:val="Titre2"/>
      </w:pPr>
      <w:bookmarkStart w:id="14" w:name="_Toc488664330"/>
      <w:r>
        <w:t>SOCIAL</w:t>
      </w:r>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 xml:space="preserve">Elle cherche également à promouvoir l’égalité professionnelle entre les Femmes et les Hommes en aménageant des horaires pour la rentrée scolaire et elle noue un partenariat avec </w:t>
      </w:r>
      <w:proofErr w:type="spellStart"/>
      <w:r>
        <w:t>Babirelais</w:t>
      </w:r>
      <w:proofErr w:type="spellEnd"/>
      <w:r>
        <w:t xml:space="preserve">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16">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drawing>
          <wp:anchor distT="0" distB="0" distL="114300" distR="114300" simplePos="0" relativeHeight="251666432" behindDoc="1"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19">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lastRenderedPageBreak/>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pour progresser dans ce domaine.</w:t>
      </w:r>
      <w:r>
        <w:br/>
        <w:t xml:space="preserve">Il apporte </w:t>
      </w:r>
      <w:r w:rsidR="00C52234">
        <w:t xml:space="preserve">également </w:t>
      </w:r>
      <w:r>
        <w:t>son soutien</w:t>
      </w:r>
      <w:r w:rsidR="00C52234">
        <w:t xml:space="preserve"> à l’association « Terre d’Afrique » </w:t>
      </w:r>
      <w:r w:rsidR="00C52234" w:rsidRPr="00C52234">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qui intervient au Sénégal pour que les personnes aient un accès à l’eau potable.</w:t>
      </w:r>
      <w:r w:rsidR="00C52234">
        <w:br/>
        <w:t>VISEO est partenaire de la charte du plan de déplacement urbain à 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w:t>
      </w:r>
      <w:bookmarkStart w:id="15" w:name="_GoBack"/>
      <w:bookmarkEnd w:id="15"/>
      <w:r w:rsidR="00C52234">
        <w:rPr>
          <w:noProof/>
        </w:rPr>
        <w:t>nt.</w:t>
      </w:r>
    </w:p>
    <w:p w:rsidR="00614B8A" w:rsidRPr="0002145C" w:rsidRDefault="00206F4B" w:rsidP="00AB1C80">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614B8A">
        <w:br w:type="page"/>
      </w:r>
    </w:p>
    <w:p w:rsidR="00150CF8" w:rsidRDefault="00150CF8" w:rsidP="00AE2388">
      <w:pPr>
        <w:pStyle w:val="Titre1"/>
      </w:pPr>
      <w:r>
        <w:lastRenderedPageBreak/>
        <w:t>Bilan</w:t>
      </w:r>
      <w:bookmarkEnd w:id="14"/>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AE2388">
      <w:pPr>
        <w:pStyle w:val="Titre1"/>
      </w:pPr>
      <w:bookmarkStart w:id="16" w:name="_Toc488664331"/>
      <w:r>
        <w:lastRenderedPageBreak/>
        <w:t>Bibliographie</w:t>
      </w:r>
      <w:bookmarkEnd w:id="16"/>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7" w:name="_Toc488664332"/>
      <w:r>
        <w:lastRenderedPageBreak/>
        <w:t>Annexes</w:t>
      </w:r>
      <w:bookmarkEnd w:id="17"/>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18" w:name="_Toc488664333"/>
      <w:r>
        <w:lastRenderedPageBreak/>
        <w:t>Glossaire</w:t>
      </w:r>
      <w:bookmarkEnd w:id="18"/>
    </w:p>
    <w:sectPr w:rsidR="0030730B" w:rsidSect="00BB04DB">
      <w:footerReference w:type="default" r:id="rId2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9DB" w:rsidRDefault="008A79DB" w:rsidP="00C6554A">
      <w:pPr>
        <w:spacing w:before="0" w:after="0" w:line="240" w:lineRule="auto"/>
      </w:pPr>
      <w:r>
        <w:separator/>
      </w:r>
    </w:p>
  </w:endnote>
  <w:endnote w:type="continuationSeparator" w:id="0">
    <w:p w:rsidR="008A79DB" w:rsidRDefault="008A79D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71" w:rsidRDefault="00295C71">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D63076">
      <w:rPr>
        <w:noProof/>
        <w:lang w:bidi="fr-FR"/>
      </w:rPr>
      <w:t>24</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9DB" w:rsidRDefault="008A79DB" w:rsidP="00C6554A">
      <w:pPr>
        <w:spacing w:before="0" w:after="0" w:line="240" w:lineRule="auto"/>
      </w:pPr>
      <w:r>
        <w:separator/>
      </w:r>
    </w:p>
  </w:footnote>
  <w:footnote w:type="continuationSeparator" w:id="0">
    <w:p w:rsidR="008A79DB" w:rsidRDefault="008A79DB" w:rsidP="00C6554A">
      <w:pPr>
        <w:spacing w:before="0" w:after="0" w:line="240" w:lineRule="auto"/>
      </w:pPr>
      <w:r>
        <w:continuationSeparator/>
      </w:r>
    </w:p>
  </w:footnote>
  <w:footnote w:id="1">
    <w:p w:rsidR="00295C71" w:rsidRDefault="00295C71">
      <w:pPr>
        <w:pStyle w:val="Notedebasdepage"/>
      </w:pPr>
      <w:r>
        <w:rPr>
          <w:rStyle w:val="Appelnotedebasdep"/>
        </w:rPr>
        <w:footnoteRef/>
      </w:r>
      <w:r>
        <w:t xml:space="preserve"> </w:t>
      </w:r>
      <w:hyperlink r:id="rId1" w:history="1">
        <w:r w:rsidRPr="006C69EB">
          <w:rPr>
            <w:rStyle w:val="Lienhypertexte"/>
          </w:rPr>
          <w:t>http://www.certivea.fr/offres/certification-nf-hqe-batiments-tertiaires-neuf-ou-renovation</w:t>
        </w:r>
      </w:hyperlink>
    </w:p>
    <w:p w:rsidR="00295C71" w:rsidRPr="00A55CB0" w:rsidRDefault="00295C71">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464402"/>
    <w:multiLevelType w:val="hybridMultilevel"/>
    <w:tmpl w:val="7ECE4C94"/>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5239"/>
    <w:rsid w:val="00006B55"/>
    <w:rsid w:val="000077F4"/>
    <w:rsid w:val="00017895"/>
    <w:rsid w:val="0002145C"/>
    <w:rsid w:val="00021677"/>
    <w:rsid w:val="00026BDD"/>
    <w:rsid w:val="00036643"/>
    <w:rsid w:val="00036C55"/>
    <w:rsid w:val="0004629F"/>
    <w:rsid w:val="000477CF"/>
    <w:rsid w:val="00047A78"/>
    <w:rsid w:val="00063C56"/>
    <w:rsid w:val="000712A2"/>
    <w:rsid w:val="00076BA4"/>
    <w:rsid w:val="0008276D"/>
    <w:rsid w:val="00083CB7"/>
    <w:rsid w:val="00092BCB"/>
    <w:rsid w:val="0009555D"/>
    <w:rsid w:val="00095BC9"/>
    <w:rsid w:val="000C6893"/>
    <w:rsid w:val="000D7009"/>
    <w:rsid w:val="000E246A"/>
    <w:rsid w:val="000E79F2"/>
    <w:rsid w:val="001165ED"/>
    <w:rsid w:val="00122E34"/>
    <w:rsid w:val="00122F19"/>
    <w:rsid w:val="00130FC6"/>
    <w:rsid w:val="00141AD6"/>
    <w:rsid w:val="001454E3"/>
    <w:rsid w:val="00146258"/>
    <w:rsid w:val="00150294"/>
    <w:rsid w:val="00150CF8"/>
    <w:rsid w:val="00151F2D"/>
    <w:rsid w:val="00156575"/>
    <w:rsid w:val="0019286D"/>
    <w:rsid w:val="001957AE"/>
    <w:rsid w:val="001A0862"/>
    <w:rsid w:val="001A14E8"/>
    <w:rsid w:val="001C152F"/>
    <w:rsid w:val="001D3A2E"/>
    <w:rsid w:val="001D54CE"/>
    <w:rsid w:val="001D7B97"/>
    <w:rsid w:val="001F6ECB"/>
    <w:rsid w:val="00200AFD"/>
    <w:rsid w:val="00201782"/>
    <w:rsid w:val="00206F4B"/>
    <w:rsid w:val="00213C89"/>
    <w:rsid w:val="002144D6"/>
    <w:rsid w:val="00230866"/>
    <w:rsid w:val="00236A1C"/>
    <w:rsid w:val="002376BA"/>
    <w:rsid w:val="002466DD"/>
    <w:rsid w:val="002467E5"/>
    <w:rsid w:val="002554CD"/>
    <w:rsid w:val="002633BD"/>
    <w:rsid w:val="00276B99"/>
    <w:rsid w:val="00293B83"/>
    <w:rsid w:val="00295C71"/>
    <w:rsid w:val="002A0A4B"/>
    <w:rsid w:val="002A5FFA"/>
    <w:rsid w:val="002A7AA8"/>
    <w:rsid w:val="002B2F29"/>
    <w:rsid w:val="002B30A5"/>
    <w:rsid w:val="002B4294"/>
    <w:rsid w:val="002D2216"/>
    <w:rsid w:val="002D2474"/>
    <w:rsid w:val="002D5E6A"/>
    <w:rsid w:val="002D74ED"/>
    <w:rsid w:val="002D7EE9"/>
    <w:rsid w:val="002E7516"/>
    <w:rsid w:val="002F4334"/>
    <w:rsid w:val="003015C5"/>
    <w:rsid w:val="003048AD"/>
    <w:rsid w:val="00305BAE"/>
    <w:rsid w:val="0030730B"/>
    <w:rsid w:val="00321F41"/>
    <w:rsid w:val="003220A3"/>
    <w:rsid w:val="00333A9C"/>
    <w:rsid w:val="00333D0D"/>
    <w:rsid w:val="00374079"/>
    <w:rsid w:val="003A48BB"/>
    <w:rsid w:val="003D7730"/>
    <w:rsid w:val="003D7BD3"/>
    <w:rsid w:val="003E1DAF"/>
    <w:rsid w:val="003E4CD7"/>
    <w:rsid w:val="003F2925"/>
    <w:rsid w:val="00404E3A"/>
    <w:rsid w:val="00405309"/>
    <w:rsid w:val="00410978"/>
    <w:rsid w:val="00414F8C"/>
    <w:rsid w:val="00422456"/>
    <w:rsid w:val="004261E8"/>
    <w:rsid w:val="004306F5"/>
    <w:rsid w:val="0043396B"/>
    <w:rsid w:val="0044124F"/>
    <w:rsid w:val="004420AF"/>
    <w:rsid w:val="004678D0"/>
    <w:rsid w:val="00484767"/>
    <w:rsid w:val="00497619"/>
    <w:rsid w:val="004B1580"/>
    <w:rsid w:val="004B47D1"/>
    <w:rsid w:val="004C049F"/>
    <w:rsid w:val="004E2C6A"/>
    <w:rsid w:val="005000E2"/>
    <w:rsid w:val="00501A26"/>
    <w:rsid w:val="00502B40"/>
    <w:rsid w:val="00511821"/>
    <w:rsid w:val="00513235"/>
    <w:rsid w:val="00524CD3"/>
    <w:rsid w:val="00547039"/>
    <w:rsid w:val="005657E3"/>
    <w:rsid w:val="00582367"/>
    <w:rsid w:val="00586D15"/>
    <w:rsid w:val="005930AA"/>
    <w:rsid w:val="005A4963"/>
    <w:rsid w:val="005C5BAB"/>
    <w:rsid w:val="005C66CB"/>
    <w:rsid w:val="005D19AC"/>
    <w:rsid w:val="005D1B05"/>
    <w:rsid w:val="005D2FD3"/>
    <w:rsid w:val="005D7751"/>
    <w:rsid w:val="005E4CCE"/>
    <w:rsid w:val="005E7E23"/>
    <w:rsid w:val="005F10DB"/>
    <w:rsid w:val="006010B3"/>
    <w:rsid w:val="00602250"/>
    <w:rsid w:val="006125B0"/>
    <w:rsid w:val="00614B8A"/>
    <w:rsid w:val="006205FF"/>
    <w:rsid w:val="006411C9"/>
    <w:rsid w:val="00654797"/>
    <w:rsid w:val="00657937"/>
    <w:rsid w:val="00672970"/>
    <w:rsid w:val="0067569F"/>
    <w:rsid w:val="00683662"/>
    <w:rsid w:val="006A0A22"/>
    <w:rsid w:val="006A3CE7"/>
    <w:rsid w:val="006C34D2"/>
    <w:rsid w:val="006C3996"/>
    <w:rsid w:val="006C3C06"/>
    <w:rsid w:val="006C7C8F"/>
    <w:rsid w:val="006D2435"/>
    <w:rsid w:val="006D2615"/>
    <w:rsid w:val="006E7B63"/>
    <w:rsid w:val="006F064E"/>
    <w:rsid w:val="006F0C67"/>
    <w:rsid w:val="007009D2"/>
    <w:rsid w:val="00702D6D"/>
    <w:rsid w:val="007167E5"/>
    <w:rsid w:val="00723F3E"/>
    <w:rsid w:val="00732B29"/>
    <w:rsid w:val="0075149E"/>
    <w:rsid w:val="00752689"/>
    <w:rsid w:val="00757E18"/>
    <w:rsid w:val="00760753"/>
    <w:rsid w:val="00793012"/>
    <w:rsid w:val="00794AE5"/>
    <w:rsid w:val="007A31E4"/>
    <w:rsid w:val="007A4B16"/>
    <w:rsid w:val="007B7496"/>
    <w:rsid w:val="007C5614"/>
    <w:rsid w:val="007C7566"/>
    <w:rsid w:val="007D6B04"/>
    <w:rsid w:val="007E0864"/>
    <w:rsid w:val="00800306"/>
    <w:rsid w:val="008154D8"/>
    <w:rsid w:val="00816C18"/>
    <w:rsid w:val="00825864"/>
    <w:rsid w:val="00826E71"/>
    <w:rsid w:val="00851315"/>
    <w:rsid w:val="0086166D"/>
    <w:rsid w:val="00887590"/>
    <w:rsid w:val="008A05B7"/>
    <w:rsid w:val="008A79DB"/>
    <w:rsid w:val="008B6A3A"/>
    <w:rsid w:val="008C6199"/>
    <w:rsid w:val="008D0BF1"/>
    <w:rsid w:val="008D2939"/>
    <w:rsid w:val="008E4BDE"/>
    <w:rsid w:val="008E5AD0"/>
    <w:rsid w:val="008F1310"/>
    <w:rsid w:val="008F3E66"/>
    <w:rsid w:val="008F517A"/>
    <w:rsid w:val="00901F79"/>
    <w:rsid w:val="00921E4C"/>
    <w:rsid w:val="00936F2F"/>
    <w:rsid w:val="009429AC"/>
    <w:rsid w:val="0095427E"/>
    <w:rsid w:val="00963497"/>
    <w:rsid w:val="00970107"/>
    <w:rsid w:val="009A0445"/>
    <w:rsid w:val="009B7A05"/>
    <w:rsid w:val="009D433D"/>
    <w:rsid w:val="009D769D"/>
    <w:rsid w:val="009E3BE0"/>
    <w:rsid w:val="009F2825"/>
    <w:rsid w:val="00A21E2E"/>
    <w:rsid w:val="00A248D0"/>
    <w:rsid w:val="00A37602"/>
    <w:rsid w:val="00A4474C"/>
    <w:rsid w:val="00A52D0B"/>
    <w:rsid w:val="00A55CB0"/>
    <w:rsid w:val="00A55DC3"/>
    <w:rsid w:val="00A730AF"/>
    <w:rsid w:val="00A77121"/>
    <w:rsid w:val="00A93B6F"/>
    <w:rsid w:val="00AA1A7E"/>
    <w:rsid w:val="00AA4BE1"/>
    <w:rsid w:val="00AB1C80"/>
    <w:rsid w:val="00AB2943"/>
    <w:rsid w:val="00AB7899"/>
    <w:rsid w:val="00AC6321"/>
    <w:rsid w:val="00AD1F84"/>
    <w:rsid w:val="00AE2388"/>
    <w:rsid w:val="00B17E07"/>
    <w:rsid w:val="00B21342"/>
    <w:rsid w:val="00B5543D"/>
    <w:rsid w:val="00B7150C"/>
    <w:rsid w:val="00B74741"/>
    <w:rsid w:val="00BA1C23"/>
    <w:rsid w:val="00BA7120"/>
    <w:rsid w:val="00BB04DB"/>
    <w:rsid w:val="00BB320C"/>
    <w:rsid w:val="00BC2755"/>
    <w:rsid w:val="00BC5D08"/>
    <w:rsid w:val="00BE586F"/>
    <w:rsid w:val="00BE71D2"/>
    <w:rsid w:val="00BF4294"/>
    <w:rsid w:val="00BF6F4C"/>
    <w:rsid w:val="00BF79B5"/>
    <w:rsid w:val="00C12FC2"/>
    <w:rsid w:val="00C139B0"/>
    <w:rsid w:val="00C307C3"/>
    <w:rsid w:val="00C50900"/>
    <w:rsid w:val="00C52234"/>
    <w:rsid w:val="00C627D4"/>
    <w:rsid w:val="00C6554A"/>
    <w:rsid w:val="00C75F32"/>
    <w:rsid w:val="00C82BC6"/>
    <w:rsid w:val="00CA3ACC"/>
    <w:rsid w:val="00CD5C81"/>
    <w:rsid w:val="00CE57A9"/>
    <w:rsid w:val="00CF16DE"/>
    <w:rsid w:val="00CF67AE"/>
    <w:rsid w:val="00D01EDF"/>
    <w:rsid w:val="00D03080"/>
    <w:rsid w:val="00D162D0"/>
    <w:rsid w:val="00D1639A"/>
    <w:rsid w:val="00D463F8"/>
    <w:rsid w:val="00D46C21"/>
    <w:rsid w:val="00D63076"/>
    <w:rsid w:val="00D73BD2"/>
    <w:rsid w:val="00D767B2"/>
    <w:rsid w:val="00D85C4F"/>
    <w:rsid w:val="00D91B88"/>
    <w:rsid w:val="00DB057C"/>
    <w:rsid w:val="00DB2C54"/>
    <w:rsid w:val="00DB6C2D"/>
    <w:rsid w:val="00DC1387"/>
    <w:rsid w:val="00E011E6"/>
    <w:rsid w:val="00E07BCF"/>
    <w:rsid w:val="00E1267E"/>
    <w:rsid w:val="00E26228"/>
    <w:rsid w:val="00E54282"/>
    <w:rsid w:val="00E57983"/>
    <w:rsid w:val="00E60EC3"/>
    <w:rsid w:val="00E6333B"/>
    <w:rsid w:val="00E64990"/>
    <w:rsid w:val="00E665F6"/>
    <w:rsid w:val="00E90189"/>
    <w:rsid w:val="00E961CE"/>
    <w:rsid w:val="00E97743"/>
    <w:rsid w:val="00EA7E0A"/>
    <w:rsid w:val="00EB5252"/>
    <w:rsid w:val="00EB7D0D"/>
    <w:rsid w:val="00ED7C44"/>
    <w:rsid w:val="00F02F55"/>
    <w:rsid w:val="00F0612A"/>
    <w:rsid w:val="00F13D63"/>
    <w:rsid w:val="00F15ACF"/>
    <w:rsid w:val="00F2245F"/>
    <w:rsid w:val="00F27271"/>
    <w:rsid w:val="00F27418"/>
    <w:rsid w:val="00F429F5"/>
    <w:rsid w:val="00F447B9"/>
    <w:rsid w:val="00F51D05"/>
    <w:rsid w:val="00F53AB9"/>
    <w:rsid w:val="00F65FC0"/>
    <w:rsid w:val="00F7166A"/>
    <w:rsid w:val="00F91290"/>
    <w:rsid w:val="00F96CE1"/>
    <w:rsid w:val="00FA5928"/>
    <w:rsid w:val="00FB5AB7"/>
    <w:rsid w:val="00FB6F86"/>
    <w:rsid w:val="00FC783B"/>
    <w:rsid w:val="00FE5B1E"/>
    <w:rsid w:val="00FF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DF543"/>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styleId="Mentionnonrsolue">
    <w:name w:val="Unresolved Mention"/>
    <w:basedOn w:val="Policepardfaut"/>
    <w:uiPriority w:val="99"/>
    <w:semiHidden/>
    <w:unhideWhenUsed/>
    <w:rsid w:val="00A55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certivea.fr/offres/certification-nf-hqe-batiments-tertiaires-neuf-ou-re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2AB7928D-3C87-46D8-96D8-B27F0C61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10347</TotalTime>
  <Pages>28</Pages>
  <Words>4789</Words>
  <Characters>26344</Characters>
  <Application>Microsoft Office Word</Application>
  <DocSecurity>0</DocSecurity>
  <Lines>219</Lines>
  <Paragraphs>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50</cp:revision>
  <cp:lastPrinted>2017-06-30T10:06:00Z</cp:lastPrinted>
  <dcterms:created xsi:type="dcterms:W3CDTF">2017-06-20T12:34:00Z</dcterms:created>
  <dcterms:modified xsi:type="dcterms:W3CDTF">2017-07-29T16:21:00Z</dcterms:modified>
</cp:coreProperties>
</file>