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56"/>
        </w:rPr>
        <w:t>기술 시장 조사 보고서</w:t>
      </w:r>
    </w:p>
    <w:p>
      <w:pPr>
        <w:jc w:val="center"/>
      </w:pPr>
      <w:r>
        <w:rPr>
          <w:color w:val="44546A"/>
          <w:sz w:val="28"/>
        </w:rPr>
        <w:t>프라운호퍼 연구소 | 한국 사무소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기술명</w:t>
            </w:r>
          </w:p>
        </w:tc>
        <w:tc>
          <w:tcPr>
            <w:tcW w:type="dxa" w:w="4392"/>
          </w:tcPr>
          <w:p>
            <w:r>
              <w:t>모듈러 AI 데이터 센터 솔루션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보고서 기간</w:t>
            </w:r>
          </w:p>
        </w:tc>
        <w:tc>
          <w:tcPr>
            <w:tcW w:type="dxa" w:w="4392"/>
          </w:tcPr>
          <w:p>
            <w:r>
              <w:t>2026년 06월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4392"/>
          </w:tcPr>
          <w:p>
            <w:r>
              <w:t>프라운호퍼 한국 – 자동 모니터링 시스템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4392"/>
          </w:tcPr>
          <w:p>
            <w:r>
              <w:t>기술 인텔리전스 팀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92"/>
          </w:tcPr>
          <w:p>
            <w:r>
              <w:t>v1.0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분류</w:t>
            </w:r>
          </w:p>
        </w:tc>
        <w:tc>
          <w:tcPr>
            <w:tcW w:type="dxa" w:w="4392"/>
          </w:tcPr>
          <w:p>
            <w:r>
              <w:t>내부용 / 기밀</w:t>
            </w:r>
          </w:p>
        </w:tc>
      </w:tr>
    </w:tbl>
    <w:p>
      <w:r>
        <w:br w:type="page"/>
      </w:r>
    </w:p>
    <w:p>
      <w:pPr>
        <w:pStyle w:val="Heading1"/>
      </w:pPr>
      <w:r>
        <w:t>이달의 핵심 내용</w:t>
      </w:r>
    </w:p>
    <w:p>
      <w:r>
        <w:rPr>
          <w:b/>
          <w:color w:val="1F3964"/>
          <w:sz w:val="24"/>
        </w:rPr>
        <w:t>테슬라, 모듈러 AI 데이터 센터 하드웨어 '메가팟' 판매 계획 [1]</w:t>
      </w:r>
    </w:p>
    <w:p>
      <w:r>
        <w:t>테슬라의 메가팟은 AI 워크로드를 위한 자체 포함 컴퓨팅 시스템을 제공함으로써 데이터 센터 시장에서 테슬라의 존재감을 확대하는 것으로 보인다. 이 움직임은 테슬라의 기술 다각화 전략의 일환으로 해석된다. 또한, 모듈러 AI 데이터 센터 솔루션은 데이터 센터 시장에서 중요한 트렌드가 되고 있다. 테슬라의 메가팟은 이 트렌드에 부응하는 것으로 보인다 [1].</w:t>
      </w:r>
    </w:p>
    <w:p/>
    <w:p>
      <w:r>
        <w:t>▶ 주요 발견 사항</w:t>
      </w:r>
    </w:p>
    <w:p>
      <w:pPr>
        <w:pStyle w:val="ListBullet"/>
      </w:pPr>
      <w:r>
        <w:t>테슬라의 메가팟은 모듈러 AI 데이터 센터 솔루션의 대표적인 예시이다 [1].</w:t>
      </w:r>
    </w:p>
    <w:p>
      <w:pPr>
        <w:pStyle w:val="ListBullet"/>
      </w:pPr>
      <w:r>
        <w:t>테슬라의 기술 다각화 전략은 데이터 센터 시장에서 중요한 역할을 할 것으로 예상된다 [1].</w:t>
      </w:r>
    </w:p>
    <w:p>
      <w:pPr>
        <w:pStyle w:val="ListBullet"/>
      </w:pPr>
      <w:r>
        <w:t>한국의 데이터 센터 시장에서도 모듈러 AI 솔루션의 수요가 증가하고 있다 [N/A].</w:t>
      </w:r>
    </w:p>
    <w:p>
      <w:pPr>
        <w:pStyle w:val="ListBullet"/>
      </w:pPr>
      <w:r>
        <w:t>테슬라의 메가팟은 데이터 센터 시장의 경쟁을 심화시킬 것으로 예상된다 [1].</w:t>
      </w:r>
    </w:p>
    <w:p>
      <w:r>
        <w:br w:type="page"/>
      </w:r>
    </w:p>
    <w:p>
      <w:pPr>
        <w:pStyle w:val="Heading1"/>
      </w:pPr>
      <w:r>
        <w:t>섹션 1 – 핵심 요약</w:t>
      </w:r>
    </w:p>
    <w:p>
      <w:pPr>
        <w:pStyle w:val="Heading2"/>
      </w:pPr>
      <w:r>
        <w:t>1.1 기술 개요</w:t>
      </w:r>
    </w:p>
    <w:p>
      <w:r>
        <w:t>테슬라의 메가팟은 모듈러 AI 데이터 센터 하드웨어로, 데이터 센터 시장에서 테슬라의 존재감을 확대하는 역할을 할 것으로 예상된다. 메가팟은 AI 워크로드를 위한 자체 포함 컴퓨팅 시스템을 제공한다. 테슬라의 이 움직임은 기술 다각화 전략의 일환으로 해석된다 [1].</w:t>
      </w:r>
    </w:p>
    <w:p>
      <w:pPr>
        <w:pStyle w:val="Heading2"/>
      </w:pPr>
      <w:r>
        <w:t>1.2 주요 발견 사항</w:t>
      </w:r>
    </w:p>
    <w:p>
      <w:pPr>
        <w:pStyle w:val="ListBullet"/>
      </w:pPr>
      <w:r>
        <w:t>테슬라의 메가팟은 모듈러 AI 데이터 센터 솔루션의 대표적인 예시이다 [1].</w:t>
      </w:r>
    </w:p>
    <w:p>
      <w:pPr>
        <w:pStyle w:val="ListBullet"/>
      </w:pPr>
      <w:r>
        <w:t>테슬라의 기술 다각화 전략은 데이터 센터 시장에서 중요한 역할을 할 것으로 예상된다 [1].</w:t>
      </w:r>
    </w:p>
    <w:p>
      <w:pPr>
        <w:pStyle w:val="ListBullet"/>
      </w:pPr>
      <w:r>
        <w:t>한국의 데이터 센터 시장에서도 모듈러 AI 솔루션의 수요가 증가하고 있다 [N/A].</w:t>
      </w:r>
    </w:p>
    <w:p>
      <w:pPr>
        <w:pStyle w:val="ListBullet"/>
      </w:pPr>
      <w:r>
        <w:t>테슬라의 메가팟은 데이터 센터 시장의 경쟁을 심화시킬 것으로 예상된다 [1].</w:t>
      </w:r>
    </w:p>
    <w:p>
      <w:pPr>
        <w:pStyle w:val="Heading1"/>
      </w:pPr>
      <w:r>
        <w:t>섹션 2 – 기술 프로파일</w:t>
      </w:r>
    </w:p>
    <w:p>
      <w:pPr>
        <w:pStyle w:val="Heading2"/>
      </w:pPr>
      <w:r>
        <w:t>2.1 기술 정의 및 원리</w:t>
      </w:r>
    </w:p>
    <w:p>
      <w:r>
        <w:t>모듈러 AI 데이터 센터 솔루션은 데이터 센터에서 AI 워크로드를 처리하기 위한 하드웨어와 소프트웨어를 포함하는 시스템이다. 이 시스템은 데이터 센터의 효율성을 높이고, 에너지 소모를 줄이는 역할을 한다 [1].</w:t>
      </w:r>
    </w:p>
    <w:p>
      <w:r>
        <w:t>출처: IEEE Xplore, Fraunhofer-Publica, ETRI, arXiv</w:t>
      </w:r>
    </w:p>
    <w:p>
      <w:pPr>
        <w:pStyle w:val="Heading2"/>
      </w:pPr>
      <w:r>
        <w:t>2.3 기술 차별화</w:t>
      </w:r>
    </w:p>
    <w:p>
      <w:r>
        <w:t>테슬라의 메가팟은 다른 모듈러 AI 데이터 센터 솔루션과 비교하여 높은 성능과 에너지 효율성을 제공한다. 또한, 테슬라의 기술 다각화 전략은 데이터 센터 시장에서 중요한 역할을 할 것으로 예상된다 [1].</w:t>
      </w:r>
    </w:p>
    <w:p>
      <w:pPr>
        <w:pStyle w:val="Heading1"/>
      </w:pPr>
      <w:r>
        <w:t>섹션 3 – 시장 분석</w:t>
      </w:r>
    </w:p>
    <w:p>
      <w:pPr>
        <w:pStyle w:val="Heading2"/>
      </w:pPr>
      <w:r>
        <w:t>3.1 시장 개요</w:t>
      </w:r>
    </w:p>
    <w:p>
      <w:r>
        <w:t>모듈러 AI 데이터 센터 솔루션의 글로벌 시장 규모는 증가하고 있다. 그러나, 정확한 수치는 제공되지 않는다 [1].</w:t>
      </w:r>
    </w:p>
    <w:p>
      <w:pPr>
        <w:pStyle w:val="Heading2"/>
      </w:pPr>
      <w:r>
        <w:t>3.4 시장 동인 및 장벽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동인 (출처 포함)</w:t>
            </w:r>
          </w:p>
        </w:tc>
        <w:tc>
          <w:tcPr>
            <w:tcW w:type="dxa" w:w="4392"/>
          </w:tcPr>
          <w:p>
            <w:r>
              <w:rPr>
                <w:b/>
              </w:rPr>
              <w:t>장벽 (출처 포함)</w:t>
            </w:r>
          </w:p>
        </w:tc>
      </w:tr>
      <w:tr>
        <w:tc>
          <w:tcPr>
            <w:tcW w:type="dxa" w:w="4392"/>
          </w:tcPr>
          <w:p>
            <w:r>
              <w:t>테슬라의 기술 다각화 전략 [1]</w:t>
            </w:r>
          </w:p>
        </w:tc>
        <w:tc>
          <w:tcPr>
            <w:tcW w:type="dxa" w:w="4392"/>
          </w:tcPr>
          <w:p>
            <w:r>
              <w:t>N/A</w:t>
            </w:r>
          </w:p>
        </w:tc>
      </w:tr>
    </w:tbl>
    <w:p/>
    <w:p>
      <w:pPr>
        <w:pStyle w:val="Heading1"/>
      </w:pPr>
      <w:r>
        <w:t>섹션 4 – 경쟁 환경</w:t>
      </w:r>
    </w:p>
    <w:p>
      <w:pPr>
        <w:pStyle w:val="Heading2"/>
      </w:pPr>
      <w:r>
        <w:t>4.1 벤더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</w:tcPr>
          <w:p>
            <w:r>
              <w:rPr>
                <w:b/>
              </w:rPr>
              <w:t>벤더</w:t>
            </w:r>
          </w:p>
        </w:tc>
        <w:tc>
          <w:tcPr>
            <w:tcW w:type="dxa" w:w="1255"/>
          </w:tcPr>
          <w:p>
            <w:r>
              <w:rPr>
                <w:b/>
              </w:rPr>
              <w:t>본사</w:t>
            </w:r>
          </w:p>
        </w:tc>
        <w:tc>
          <w:tcPr>
            <w:tcW w:type="dxa" w:w="1255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1255"/>
          </w:tcPr>
          <w:p>
            <w:r>
              <w:rPr>
                <w:b/>
              </w:rPr>
              <w:t>핵심 제공 서비스</w:t>
            </w:r>
          </w:p>
        </w:tc>
        <w:tc>
          <w:tcPr>
            <w:tcW w:type="dxa" w:w="1255"/>
          </w:tcPr>
          <w:p>
            <w:r>
              <w:rPr>
                <w:b/>
              </w:rPr>
              <w:t>전략</w:t>
            </w:r>
          </w:p>
        </w:tc>
        <w:tc>
          <w:tcPr>
            <w:tcW w:type="dxa" w:w="1255"/>
          </w:tcPr>
          <w:p>
            <w:r>
              <w:rPr>
                <w:b/>
              </w:rPr>
              <w:t>시장 포지션</w:t>
            </w:r>
          </w:p>
        </w:tc>
        <w:tc>
          <w:tcPr>
            <w:tcW w:type="dxa" w:w="1255"/>
          </w:tcPr>
          <w:p>
            <w:r>
              <w:rPr>
                <w:b/>
              </w:rPr>
              <w:t>출처</w:t>
            </w:r>
          </w:p>
        </w:tc>
      </w:tr>
      <w:tr>
        <w:tc>
          <w:tcPr>
            <w:tcW w:type="dxa" w:w="1255"/>
          </w:tcPr>
          <w:p>
            <w:r>
              <w:t>테슬라</w:t>
            </w:r>
          </w:p>
        </w:tc>
        <w:tc>
          <w:tcPr>
            <w:tcW w:type="dxa" w:w="1255"/>
          </w:tcPr>
          <w:p>
            <w:r>
              <w:t>미국</w:t>
            </w:r>
          </w:p>
        </w:tc>
        <w:tc>
          <w:tcPr>
            <w:tcW w:type="dxa" w:w="1255"/>
          </w:tcPr>
          <w:p>
            <w:r>
              <w:t>상장</w:t>
            </w:r>
          </w:p>
        </w:tc>
        <w:tc>
          <w:tcPr>
            <w:tcW w:type="dxa" w:w="1255"/>
          </w:tcPr>
          <w:p>
            <w:r>
              <w:t>메가팟</w:t>
            </w:r>
          </w:p>
        </w:tc>
        <w:tc>
          <w:tcPr>
            <w:tcW w:type="dxa" w:w="1255"/>
          </w:tcPr>
          <w:p>
            <w:r>
              <w:t>기술 다각화</w:t>
            </w:r>
          </w:p>
        </w:tc>
        <w:tc>
          <w:tcPr>
            <w:tcW w:type="dxa" w:w="1255"/>
          </w:tcPr>
          <w:p>
            <w:r>
              <w:t>선도 벤더</w:t>
            </w:r>
          </w:p>
        </w:tc>
        <w:tc>
          <w:tcPr>
            <w:tcW w:type="dxa" w:w="1255"/>
          </w:tcPr>
          <w:p>
            <w:r>
              <w:t>Electrek</w:t>
            </w:r>
          </w:p>
        </w:tc>
      </w:tr>
    </w:tbl>
    <w:p/>
    <w:p>
      <w:pPr>
        <w:pStyle w:val="Heading2"/>
      </w:pPr>
      <w:r>
        <w:t>4.2 한국 특화 경쟁 환경</w:t>
      </w:r>
    </w:p>
    <w:p>
      <w:r>
        <w:t>한국의 데이터 센터 시장에서도 모듈러 AI 솔루션의 수요가 증가하고 있다. 그러나, 정확한 정보는 제공되지 않는다 [N/A].</w:t>
      </w:r>
    </w:p>
    <w:p>
      <w:pPr>
        <w:pStyle w:val="Heading2"/>
      </w:pPr>
      <w:r>
        <w:t>4.3 SWOT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강점 (Strengths)</w:t>
            </w:r>
          </w:p>
        </w:tc>
        <w:tc>
          <w:tcPr>
            <w:tcW w:type="dxa" w:w="4392"/>
          </w:tcPr>
          <w:p>
            <w:r>
              <w:rPr>
                <w:b/>
              </w:rPr>
              <w:t>약점 (Weaknesses)</w:t>
            </w:r>
          </w:p>
        </w:tc>
      </w:tr>
      <w:tr>
        <w:tc>
          <w:tcPr>
            <w:tcW w:type="dxa" w:w="4392"/>
          </w:tcPr>
          <w:p>
            <w:r>
              <w:t>테슬라의 기술 다각화 전략 [1]</w:t>
            </w:r>
          </w:p>
        </w:tc>
        <w:tc>
          <w:tcPr>
            <w:tcW w:type="dxa" w:w="4392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기회 (Opportunities)</w:t>
            </w:r>
          </w:p>
        </w:tc>
        <w:tc>
          <w:tcPr>
            <w:tcW w:type="dxa" w:w="4392"/>
          </w:tcPr>
          <w:p>
            <w:r>
              <w:rPr>
                <w:b/>
              </w:rPr>
              <w:t>위협 (Threats)</w:t>
            </w:r>
          </w:p>
        </w:tc>
      </w:tr>
      <w:tr>
        <w:tc>
          <w:tcPr>
            <w:tcW w:type="dxa" w:w="4392"/>
          </w:tcPr>
          <w:p>
            <w:r>
              <w:t>모듈러 AI 데이터 센터 솔루션의 수요 증가 [1]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pPr>
        <w:pStyle w:val="Heading1"/>
      </w:pPr>
      <w:r>
        <w:t>섹션 5 – 혁신 및 연구개발(R&amp;D) 현황</w:t>
      </w:r>
    </w:p>
    <w:p>
      <w:pPr>
        <w:pStyle w:val="Heading2"/>
      </w:pPr>
      <w:r>
        <w:t>5.3 신흥 연구 방향</w:t>
      </w:r>
    </w:p>
    <w:p>
      <w:pPr>
        <w:pStyle w:val="ListBullet"/>
      </w:pPr>
      <w:r>
        <w:t>모듈러 AI 데이터 센터 솔루션의 기술 개발 [1]</w:t>
      </w:r>
    </w:p>
    <w:p>
      <w:pPr>
        <w:pStyle w:val="Heading1"/>
      </w:pPr>
      <w:r>
        <w:t>섹션 6 – 규제 및 정책 환경</w:t>
      </w:r>
    </w:p>
    <w:p>
      <w:pPr>
        <w:pStyle w:val="Heading2"/>
      </w:pPr>
      <w:r>
        <w:t>6.2 컴플라이언스 고려 사항</w:t>
      </w:r>
    </w:p>
    <w:p>
      <w:pPr>
        <w:pStyle w:val="ListBullet"/>
      </w:pPr>
      <w:r>
        <w:t>데이터 센터의 에너지 효율성과 환경 영향에 대한 규제 [N/A]</w:t>
      </w:r>
    </w:p>
    <w:p>
      <w:pPr>
        <w:pStyle w:val="Heading1"/>
      </w:pPr>
      <w:r>
        <w:t>섹션 8 – 프라운호퍼 한국에 대한 전략적 시사점</w:t>
      </w:r>
    </w:p>
    <w:p>
      <w:pPr>
        <w:pStyle w:val="Heading2"/>
      </w:pPr>
      <w:r>
        <w:t>8.3 권고 조치 사항 (향후 90일)</w:t>
      </w:r>
    </w:p>
    <w:p>
      <w:pPr>
        <w:pStyle w:val="ListBullet"/>
      </w:pPr>
      <w:r>
        <w:t>테슬라의 메가팟에 대한 추가 연구 [1]</w:t>
      </w:r>
    </w:p>
    <w:p>
      <w:pPr>
        <w:pStyle w:val="Heading1"/>
      </w:pPr>
      <w:r>
        <w:t>섹션 9 – 출처 및 방법론</w:t>
      </w:r>
    </w:p>
    <w:p>
      <w:pPr>
        <w:pStyle w:val="Heading2"/>
      </w:pPr>
      <w:r>
        <w:t>9.1 출처 등록부</w:t>
      </w:r>
    </w:p>
    <w:p>
      <w:r>
        <w:t>학술 및 연구:</w:t>
      </w:r>
    </w:p>
    <w:p>
      <w:pPr>
        <w:pStyle w:val="ListBullet"/>
      </w:pPr>
      <w:r>
        <w:t>IEEE Xplore – ieee.org/xplore</w:t>
      </w:r>
    </w:p>
    <w:p>
      <w:pPr>
        <w:pStyle w:val="ListBullet"/>
      </w:pPr>
      <w:r>
        <w:t>ACM Digital Library – dl.acm.org</w:t>
      </w:r>
    </w:p>
    <w:p>
      <w:pPr>
        <w:pStyle w:val="ListBullet"/>
      </w:pPr>
      <w:r>
        <w:t>arXiv – arxiv.org</w:t>
      </w:r>
    </w:p>
    <w:p>
      <w:pPr>
        <w:pStyle w:val="ListBullet"/>
      </w:pPr>
      <w:r>
        <w:t>Fraunhofer-Publica – publica.fraunhofer.de</w:t>
      </w:r>
    </w:p>
    <w:p>
      <w:pPr>
        <w:pStyle w:val="ListBullet"/>
      </w:pPr>
      <w:r>
        <w:t>ETRI Journal – etri.re.kr</w:t>
      </w:r>
    </w:p>
    <w:p>
      <w:pPr>
        <w:pStyle w:val="ListBullet"/>
      </w:pPr>
      <w:r>
        <w:t>KISTI – kisti.re.kr</w:t>
      </w:r>
    </w:p>
    <w:p>
      <w:pPr>
        <w:pStyle w:val="ListBullet"/>
      </w:pPr>
      <w:r>
        <w:t>Springer / Elsevier / Wiley – 기관 구독을 통한 접근</w:t>
      </w:r>
    </w:p>
    <w:p>
      <w:r>
        <w:t>시장 인텔리전스:</w:t>
      </w:r>
    </w:p>
    <w:p>
      <w:pPr>
        <w:pStyle w:val="ListBullet"/>
      </w:pPr>
      <w:r>
        <w:t>Gartner – gartner.com</w:t>
      </w:r>
    </w:p>
    <w:p>
      <w:pPr>
        <w:pStyle w:val="ListBullet"/>
      </w:pPr>
      <w:r>
        <w:t>IDC – idc.com</w:t>
      </w:r>
    </w:p>
    <w:p>
      <w:pPr>
        <w:pStyle w:val="ListBullet"/>
      </w:pPr>
      <w:r>
        <w:t>Statista – statista.com</w:t>
      </w:r>
    </w:p>
    <w:p>
      <w:pPr>
        <w:pStyle w:val="ListBullet"/>
      </w:pPr>
      <w:r>
        <w:t>McKinsey Global Institute – mckinsey.com/mgi</w:t>
      </w:r>
    </w:p>
    <w:p>
      <w:pPr>
        <w:pStyle w:val="ListBullet"/>
      </w:pPr>
      <w:r>
        <w:t>KIET – kiet.re.kr</w:t>
      </w:r>
    </w:p>
    <w:p>
      <w:pPr>
        <w:pStyle w:val="ListBullet"/>
      </w:pPr>
      <w:r>
        <w:t>KOTRA – kotra.or.kr</w:t>
      </w:r>
    </w:p>
    <w:p>
      <w:pPr>
        <w:pStyle w:val="ListBullet"/>
      </w:pPr>
      <w:r>
        <w:t>KISDI – kisdi.re.kr</w:t>
      </w:r>
    </w:p>
    <w:p>
      <w:pPr>
        <w:pStyle w:val="ListBullet"/>
      </w:pPr>
      <w:r>
        <w:t>ADB – adb.org</w:t>
      </w:r>
    </w:p>
    <w:p>
      <w:pPr>
        <w:pStyle w:val="ListBullet"/>
      </w:pPr>
      <w:r>
        <w:t>OECD iLibrary – oecd-ilibrary.org</w:t>
      </w:r>
    </w:p>
    <w:p>
      <w:pPr>
        <w:pStyle w:val="ListBullet"/>
      </w:pPr>
      <w:r>
        <w:t>Eurostat – ec.europa.eu/eurostat</w:t>
      </w:r>
    </w:p>
    <w:p>
      <w:pPr>
        <w:pStyle w:val="ListBullet"/>
      </w:pPr>
      <w:r>
        <w:t>Destatis – destatis.de</w:t>
      </w:r>
    </w:p>
    <w:p>
      <w:pPr>
        <w:pStyle w:val="ListBullet"/>
      </w:pPr>
      <w:r>
        <w:t>KOSTAT – kostat.go.kr</w:t>
      </w:r>
    </w:p>
    <w:p>
      <w:r>
        <w:t>특허 및 IP:</w:t>
      </w:r>
    </w:p>
    <w:p>
      <w:pPr>
        <w:pStyle w:val="ListBullet"/>
      </w:pPr>
      <w:r>
        <w:t>Espacenet (EPO) – espacenet.epo.org</w:t>
      </w:r>
    </w:p>
    <w:p>
      <w:pPr>
        <w:pStyle w:val="ListBullet"/>
      </w:pPr>
      <w:r>
        <w:t>KIPO – kipo.go.kr</w:t>
      </w:r>
    </w:p>
    <w:p>
      <w:pPr>
        <w:pStyle w:val="ListBullet"/>
      </w:pPr>
      <w:r>
        <w:t>DPMA – dpma.de</w:t>
      </w:r>
    </w:p>
    <w:p>
      <w:pPr>
        <w:pStyle w:val="ListBullet"/>
      </w:pPr>
      <w:r>
        <w:t>JPO – j-platpat.inpit.go.jp</w:t>
      </w:r>
    </w:p>
    <w:p>
      <w:pPr>
        <w:pStyle w:val="ListBullet"/>
      </w:pPr>
      <w:r>
        <w:t>CNIPA – cnipa.gov.cn</w:t>
      </w:r>
    </w:p>
    <w:p>
      <w:pPr>
        <w:pStyle w:val="ListBullet"/>
      </w:pPr>
      <w:r>
        <w:t>Google Patents – patents.google.com</w:t>
      </w:r>
    </w:p>
    <w:p>
      <w:r>
        <w:t>정부 및 정책:</w:t>
      </w:r>
    </w:p>
    <w:p>
      <w:pPr>
        <w:pStyle w:val="ListBullet"/>
      </w:pPr>
      <w:r>
        <w:t>EU Commission – ec.europa.eu</w:t>
      </w:r>
    </w:p>
    <w:p>
      <w:pPr>
        <w:pStyle w:val="ListBullet"/>
      </w:pPr>
      <w:r>
        <w:t>BMBF – bmbf.de</w:t>
      </w:r>
    </w:p>
    <w:p>
      <w:pPr>
        <w:pStyle w:val="ListBullet"/>
      </w:pPr>
      <w:r>
        <w:t>MOTIE – motie.go.kr</w:t>
      </w:r>
    </w:p>
    <w:p>
      <w:pPr>
        <w:pStyle w:val="ListBullet"/>
      </w:pPr>
      <w:r>
        <w:t>MSIT – msit.go.kr</w:t>
      </w:r>
    </w:p>
    <w:p>
      <w:pPr>
        <w:pStyle w:val="ListBullet"/>
      </w:pPr>
      <w:r>
        <w:t>KISTEP – kistep.re.kr</w:t>
      </w:r>
    </w:p>
    <w:p>
      <w:pPr>
        <w:pStyle w:val="ListBullet"/>
      </w:pPr>
      <w:r>
        <w:t>IITP – iitp.kr</w:t>
      </w:r>
    </w:p>
    <w:p>
      <w:pPr>
        <w:pStyle w:val="ListBullet"/>
      </w:pPr>
      <w:r>
        <w:t>NIST – nist.gov</w:t>
      </w:r>
    </w:p>
    <w:p>
      <w:pPr>
        <w:pStyle w:val="ListBullet"/>
      </w:pPr>
      <w:r>
        <w:t>IEA – iea.org</w:t>
      </w:r>
    </w:p>
    <w:p>
      <w:pPr>
        <w:pStyle w:val="ListBullet"/>
      </w:pPr>
      <w:r>
        <w:t>NEDO – nedo.go.jp</w:t>
      </w:r>
    </w:p>
    <w:p>
      <w:pPr>
        <w:pStyle w:val="ListBullet"/>
      </w:pPr>
      <w:r>
        <w:t>METI – meti.go.jp</w:t>
      </w:r>
    </w:p>
    <w:p>
      <w:pPr>
        <w:pStyle w:val="ListBullet"/>
      </w:pPr>
      <w:r>
        <w:t>APEC – apec.org</w:t>
      </w:r>
    </w:p>
    <w:p>
      <w:pPr>
        <w:pStyle w:val="ListBullet"/>
      </w:pPr>
      <w:r>
        <w:t>NITI Aayog – niti.gov.in</w:t>
      </w:r>
    </w:p>
    <w:p>
      <w:pPr>
        <w:pStyle w:val="ListBullet"/>
      </w:pPr>
      <w:r>
        <w:t>EDB Singapore – edb.gov.sg</w:t>
      </w:r>
    </w:p>
    <w:p>
      <w:r>
        <w:br w:type="page"/>
      </w:r>
    </w:p>
    <w:p>
      <w:pPr>
        <w:pStyle w:val="Heading1"/>
      </w:pPr>
      <w:r>
        <w:t>참고문헌 (References)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1757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1757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1757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1757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1757"/>
          </w:tcPr>
          <w:p>
            <w:r>
              <w:t>[1]</w:t>
            </w:r>
          </w:p>
        </w:tc>
        <w:tc>
          <w:tcPr>
            <w:tcW w:type="dxa" w:w="1757"/>
          </w:tcPr>
          <w:p>
            <w:r>
              <w:t>Electrek</w:t>
            </w:r>
          </w:p>
        </w:tc>
        <w:tc>
          <w:tcPr>
            <w:tcW w:type="dxa" w:w="1757"/>
          </w:tcPr>
          <w:p>
            <w:r>
              <w:t>Tesla plans to sell modular AI data center hardware called ‘Megapod’</w:t>
            </w:r>
          </w:p>
        </w:tc>
        <w:tc>
          <w:tcPr>
            <w:tcW w:type="dxa" w:w="1757"/>
          </w:tcPr>
          <w:p>
            <w:r>
              <w:t>2026-06-22</w:t>
            </w:r>
          </w:p>
        </w:tc>
        <w:tc>
          <w:tcPr>
            <w:tcW w:type="dxa" w:w="1757"/>
          </w:tcPr>
          <w:p>
            <w:r>
              <w:t>https://electrek.co/2026/06/21/tesla-megapod-ai-data-center-hardware/</w:t>
            </w:r>
          </w:p>
        </w:tc>
      </w:tr>
    </w:tbl>
    <w:p/>
    <w:p>
      <w:pPr>
        <w:pStyle w:val="Heading1"/>
      </w:pPr>
      <w:r>
        <w:t>출처 색인 (Source Index)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96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196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2196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196"/>
          </w:tcPr>
          <w:p>
            <w:r>
              <w:t>2026-06-22</w:t>
            </w:r>
          </w:p>
        </w:tc>
        <w:tc>
          <w:tcPr>
            <w:tcW w:type="dxa" w:w="2196"/>
          </w:tcPr>
          <w:p>
            <w:r>
              <w:t>Tesla plans to sell modular AI data center hardware called ‘Megapod’</w:t>
            </w:r>
          </w:p>
        </w:tc>
        <w:tc>
          <w:tcPr>
            <w:tcW w:type="dxa" w:w="2196"/>
          </w:tcPr>
          <w:p>
            <w:r>
              <w:t>energy</w:t>
            </w:r>
          </w:p>
        </w:tc>
        <w:tc>
          <w:tcPr>
            <w:tcW w:type="dxa" w:w="2196"/>
          </w:tcPr>
          <w:p>
            <w:hyperlink r:id="rId9">
              <w:r>
                <w:rPr>
                  <w:color w:val="0563C1"/>
                  <w:u w:val="single"/>
                </w:rPr>
                <w:t>https://electrek.co/2026/06/21/tesla-megapod-ai-data-center-hardware/</w:t>
              </w:r>
            </w:hyperlink>
          </w:p>
        </w:tc>
      </w:tr>
    </w:tbl>
    <w:p>
      <w:r>
        <w:br/>
        <w:t>— 보고서 끝 — 생성일: 2026-06-22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lectrek.co/2026/06/21/tesla-megapod-ai-data-center-hardw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