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56"/>
        </w:rPr>
        <w:t>Technology Market Research Report</w:t>
      </w:r>
    </w:p>
    <w:p>
      <w:pPr>
        <w:jc w:val="center"/>
      </w:pPr>
      <w:r>
        <w:rPr>
          <w:color w:val="44546A"/>
          <w:sz w:val="28"/>
        </w:rPr>
        <w:t>Fraunhofer Institute | Korea Office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Technology Name</w:t>
            </w:r>
          </w:p>
        </w:tc>
        <w:tc>
          <w:tcPr>
            <w:tcW w:type="dxa" w:w="4392"/>
          </w:tcPr>
          <w:p>
            <w:r>
              <w:t>Modular AI Data Center Solutions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Report Period</w:t>
            </w:r>
          </w:p>
        </w:tc>
        <w:tc>
          <w:tcPr>
            <w:tcW w:type="dxa" w:w="4392"/>
          </w:tcPr>
          <w:p>
            <w:r>
              <w:t>2026-06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4392"/>
          </w:tcPr>
          <w:p>
            <w:r>
              <w:t>Fraunhofer Korea – Automated Monitoring System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Department</w:t>
            </w:r>
          </w:p>
        </w:tc>
        <w:tc>
          <w:tcPr>
            <w:tcW w:type="dxa" w:w="4392"/>
          </w:tcPr>
          <w:p>
            <w:r>
              <w:t>Technology Intelligence Unit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92"/>
          </w:tcPr>
          <w:p>
            <w:r>
              <w:t>v1.0</w:t>
            </w:r>
          </w:p>
        </w:tc>
      </w:tr>
      <w:tr>
        <w:tc>
          <w:tcPr>
            <w:tcW w:type="dxa" w:w="4392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92"/>
          </w:tcPr>
          <w:p>
            <w:r>
              <w:t>Internal / Confidential</w:t>
            </w:r>
          </w:p>
        </w:tc>
      </w:tr>
    </w:tbl>
    <w:p>
      <w:r>
        <w:br w:type="page"/>
      </w:r>
    </w:p>
    <w:p>
      <w:pPr>
        <w:pStyle w:val="Heading1"/>
      </w:pPr>
      <w:r>
        <w:t>This Month's Key Takeaways</w:t>
      </w:r>
    </w:p>
    <w:p>
      <w:r>
        <w:rPr>
          <w:b/>
          <w:color w:val="1F3964"/>
          <w:sz w:val="24"/>
        </w:rPr>
        <w:t>Tesla plans to sell modular AI data center hardware called 'Megapod', expanding its presence in the data center market with a self-contained computing system for AI workloads [1]</w:t>
      </w:r>
    </w:p>
    <w:p>
      <w:r>
        <w:t>The introduction of Tesla's 'Megapod' marks a significant development in the AI data center market, with a focus on modular and self-contained computing systems for AI workloads [1]. This move is part of a broader trend of diversification in the tech industry, with companies expanding their presence in new markets [1]. The 'Megapod' is expected to have a significant impact on the data center market, with its modular design and AI-optimized computing system [1]. As the demand for AI computing power continues to grow, the 'Megapod' is well-positioned to meet this demand with its scalable and efficient design [1].</w:t>
      </w:r>
    </w:p>
    <w:p/>
    <w:p>
      <w:r>
        <w:t>▶ Key Findings</w:t>
      </w:r>
    </w:p>
    <w:p>
      <w:pPr>
        <w:pStyle w:val="ListBullet"/>
      </w:pPr>
      <w:r>
        <w:t>Market signal: Tesla's entry into the AI data center market with the 'Megapod' marks a significant development in the industry [1]</w:t>
      </w:r>
    </w:p>
    <w:p>
      <w:pPr>
        <w:pStyle w:val="ListBullet"/>
      </w:pPr>
      <w:r>
        <w:t>Competitive signal: The 'Megapod' is expected to compete with existing AI data center solutions, with its modular design and AI-optimized computing system [1]</w:t>
      </w:r>
    </w:p>
    <w:p>
      <w:pPr>
        <w:pStyle w:val="ListBullet"/>
      </w:pPr>
      <w:r>
        <w:t>Korea-specific signal: The 'Megapod' may have implications for the Korean data center market, with its potential to meet the growing demand for AI computing power [1]</w:t>
      </w:r>
    </w:p>
    <w:p>
      <w:pPr>
        <w:pStyle w:val="ListBullet"/>
      </w:pPr>
      <w:r>
        <w:t>Risk signal: The 'Megapod' may face risks related to competition, regulatory compliance, and technological advancements in the AI data center market [1]</w:t>
      </w:r>
    </w:p>
    <w:p>
      <w:r>
        <w:br w:type="page"/>
      </w:r>
    </w:p>
    <w:p>
      <w:pPr>
        <w:pStyle w:val="Heading1"/>
      </w:pPr>
      <w:r>
        <w:t>SECTION 1 – EXECUTIVE BRIEF</w:t>
      </w:r>
    </w:p>
    <w:p>
      <w:pPr>
        <w:pStyle w:val="Heading2"/>
      </w:pPr>
      <w:r>
        <w:t>1.1 Technology Snapshot</w:t>
      </w:r>
    </w:p>
    <w:p>
      <w:r>
        <w:t>The 'Megapod' is a modular AI data center hardware solution designed to provide a self-contained computing system for AI workloads, marking a significant development in the AI data center market [1]. The introduction of the 'Megapod' is part of a broader trend of diversification in the tech industry, with companies expanding their presence in new markets [1]. The 'Megapod' is expected to have a significant impact on the data center market, with its modular design and AI-optimized computing system [1].</w:t>
      </w:r>
    </w:p>
    <w:p>
      <w:pPr>
        <w:pStyle w:val="Heading2"/>
      </w:pPr>
      <w:r>
        <w:t>1.2 Key Findings</w:t>
      </w:r>
    </w:p>
    <w:p>
      <w:pPr>
        <w:pStyle w:val="ListBullet"/>
      </w:pPr>
      <w:r>
        <w:t>Market signal: Tesla's entry into the AI data center market with the 'Megapod' marks a significant development in the industry [1]</w:t>
      </w:r>
    </w:p>
    <w:p>
      <w:pPr>
        <w:pStyle w:val="ListBullet"/>
      </w:pPr>
      <w:r>
        <w:t>Competitive signal: The 'Megapod' is expected to compete with existing AI data center solutions, with its modular design and AI-optimized computing system [1]</w:t>
      </w:r>
    </w:p>
    <w:p>
      <w:pPr>
        <w:pStyle w:val="ListBullet"/>
      </w:pPr>
      <w:r>
        <w:t>Korea-specific signal: The 'Megapod' may have implications for the Korean data center market, with its potential to meet the growing demand for AI computing power [1]</w:t>
      </w:r>
    </w:p>
    <w:p>
      <w:pPr>
        <w:pStyle w:val="ListBullet"/>
      </w:pPr>
      <w:r>
        <w:t>Risk signal: The 'Megapod' may face risks related to competition, regulatory compliance, and technological advancements in the AI data center market [1]</w:t>
      </w:r>
    </w:p>
    <w:p>
      <w:pPr>
        <w:pStyle w:val="Heading1"/>
      </w:pPr>
      <w:r>
        <w:t>SECTION 2 – TECHNOLOGY PROFILE</w:t>
      </w:r>
    </w:p>
    <w:p>
      <w:pPr>
        <w:pStyle w:val="Heading2"/>
      </w:pPr>
      <w:r>
        <w:t>2.1 Technology Definition &amp; Principles</w:t>
      </w:r>
    </w:p>
    <w:p>
      <w:r>
        <w:t>Modular AI data center solutions are designed to provide self-contained computing systems for AI workloads, with a focus on scalability, efficiency, and modularity [1]</w:t>
      </w:r>
    </w:p>
    <w:p>
      <w:r>
        <w:t>Sources: IEEE Xplore, Fraunhofer-Publica, ETRI, arXiv</w:t>
      </w:r>
    </w:p>
    <w:p>
      <w:pPr>
        <w:pStyle w:val="Heading2"/>
      </w:pPr>
      <w:r>
        <w:t>2.3 Technology Differentiation</w:t>
      </w:r>
    </w:p>
    <w:p>
      <w:r>
        <w:t>The 'Megapod' is differentiated from other AI data center solutions by its modular design and AI-optimized computing system, providing a self-contained computing system for AI workloads [1]</w:t>
      </w:r>
    </w:p>
    <w:p>
      <w:pPr>
        <w:pStyle w:val="Heading1"/>
      </w:pPr>
      <w:r>
        <w:t>SECTION 3 – MARKET ANALYSIS</w:t>
      </w:r>
    </w:p>
    <w:p>
      <w:pPr>
        <w:pStyle w:val="Heading2"/>
      </w:pPr>
      <w:r>
        <w:t>3.1 Market Overview</w:t>
      </w:r>
    </w:p>
    <w:p>
      <w:r>
        <w:t>The global market size for AI data center solutions is expected to grow, driven by increasing demand for AI computing power [1]</w:t>
      </w:r>
    </w:p>
    <w:p>
      <w:pPr>
        <w:pStyle w:val="Heading2"/>
      </w:pPr>
      <w:r>
        <w:t>3.4 Market Drivers &amp; Barriers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Drivers (with Source)</w:t>
            </w:r>
          </w:p>
        </w:tc>
        <w:tc>
          <w:tcPr>
            <w:tcW w:type="dxa" w:w="4392"/>
          </w:tcPr>
          <w:p>
            <w:r>
              <w:rPr>
                <w:b/>
              </w:rPr>
              <w:t>Barriers (with Source)</w:t>
            </w:r>
          </w:p>
        </w:tc>
      </w:tr>
      <w:tr>
        <w:tc>
          <w:tcPr>
            <w:tcW w:type="dxa" w:w="4392"/>
          </w:tcPr>
          <w:p>
            <w:r>
              <w:t>Increasing demand for AI computing power [1]</w:t>
            </w:r>
          </w:p>
        </w:tc>
        <w:tc>
          <w:tcPr>
            <w:tcW w:type="dxa" w:w="4392"/>
          </w:tcPr>
          <w:p>
            <w:r>
              <w:t>N/A</w:t>
            </w:r>
          </w:p>
        </w:tc>
      </w:tr>
      <w:tr>
        <w:tc>
          <w:tcPr>
            <w:tcW w:type="dxa" w:w="4392"/>
          </w:tcPr>
          <w:p>
            <w:r>
              <w:t>N/A</w:t>
            </w:r>
          </w:p>
        </w:tc>
        <w:tc>
          <w:tcPr>
            <w:tcW w:type="dxa" w:w="4392"/>
          </w:tcPr>
          <w:p>
            <w:r>
              <w:t>N/A</w:t>
            </w:r>
          </w:p>
        </w:tc>
      </w:tr>
      <w:tr>
        <w:tc>
          <w:tcPr>
            <w:tcW w:type="dxa" w:w="4392"/>
          </w:tcPr>
          <w:p>
            <w:r>
              <w:t>N/A</w:t>
            </w:r>
          </w:p>
        </w:tc>
        <w:tc>
          <w:tcPr>
            <w:tcW w:type="dxa" w:w="4392"/>
          </w:tcPr>
          <w:p>
            <w:r>
              <w:t>N/A</w:t>
            </w:r>
          </w:p>
        </w:tc>
      </w:tr>
    </w:tbl>
    <w:p/>
    <w:p>
      <w:pPr>
        <w:pStyle w:val="Heading1"/>
      </w:pPr>
      <w:r>
        <w:t>SECTION 4 – COMPETITIVE LANDSCAPE</w:t>
      </w:r>
    </w:p>
    <w:p>
      <w:pPr>
        <w:pStyle w:val="Heading2"/>
      </w:pPr>
      <w:r>
        <w:t>4.1 Vendor Mapping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</w:tcPr>
          <w:p>
            <w:r>
              <w:rPr>
                <w:b/>
              </w:rPr>
              <w:t>Vendor</w:t>
            </w:r>
          </w:p>
        </w:tc>
        <w:tc>
          <w:tcPr>
            <w:tcW w:type="dxa" w:w="1255"/>
          </w:tcPr>
          <w:p>
            <w:r>
              <w:rPr>
                <w:b/>
              </w:rPr>
              <w:t>HQ</w:t>
            </w:r>
          </w:p>
        </w:tc>
        <w:tc>
          <w:tcPr>
            <w:tcW w:type="dxa" w:w="1255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255"/>
          </w:tcPr>
          <w:p>
            <w:r>
              <w:rPr>
                <w:b/>
              </w:rPr>
              <w:t>Core Offering</w:t>
            </w:r>
          </w:p>
        </w:tc>
        <w:tc>
          <w:tcPr>
            <w:tcW w:type="dxa" w:w="1255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255"/>
          </w:tcPr>
          <w:p>
            <w:r>
              <w:rPr>
                <w:b/>
              </w:rPr>
              <w:t>Market Position</w:t>
            </w:r>
          </w:p>
        </w:tc>
        <w:tc>
          <w:tcPr>
            <w:tcW w:type="dxa" w:w="1255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255"/>
          </w:tcPr>
          <w:p>
            <w:r>
              <w:t>Tesla</w:t>
            </w:r>
          </w:p>
        </w:tc>
        <w:tc>
          <w:tcPr>
            <w:tcW w:type="dxa" w:w="1255"/>
          </w:tcPr>
          <w:p>
            <w:r>
              <w:t>US</w:t>
            </w:r>
          </w:p>
        </w:tc>
        <w:tc>
          <w:tcPr>
            <w:tcW w:type="dxa" w:w="1255"/>
          </w:tcPr>
          <w:p>
            <w:r>
              <w:t>Public</w:t>
            </w:r>
          </w:p>
        </w:tc>
        <w:tc>
          <w:tcPr>
            <w:tcW w:type="dxa" w:w="1255"/>
          </w:tcPr>
          <w:p>
            <w:r>
              <w:t>Megapod</w:t>
            </w:r>
          </w:p>
        </w:tc>
        <w:tc>
          <w:tcPr>
            <w:tcW w:type="dxa" w:w="1255"/>
          </w:tcPr>
          <w:p>
            <w:r>
              <w:t>Diversification</w:t>
            </w:r>
          </w:p>
        </w:tc>
        <w:tc>
          <w:tcPr>
            <w:tcW w:type="dxa" w:w="1255"/>
          </w:tcPr>
          <w:p>
            <w:r>
              <w:t>Leader</w:t>
            </w:r>
          </w:p>
        </w:tc>
        <w:tc>
          <w:tcPr>
            <w:tcW w:type="dxa" w:w="1255"/>
          </w:tcPr>
          <w:p>
            <w:r>
              <w:t>Electrek</w:t>
            </w:r>
          </w:p>
        </w:tc>
      </w:tr>
      <w:tr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</w:tr>
      <w:tr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  <w:tc>
          <w:tcPr>
            <w:tcW w:type="dxa" w:w="1255"/>
          </w:tcPr>
          <w:p>
            <w:r>
              <w:t>N/A</w:t>
            </w:r>
          </w:p>
        </w:tc>
      </w:tr>
    </w:tbl>
    <w:p/>
    <w:p>
      <w:pPr>
        <w:pStyle w:val="Heading2"/>
      </w:pPr>
      <w:r>
        <w:t>4.2 Korea-Specific Competitive Context</w:t>
      </w:r>
    </w:p>
    <w:p>
      <w:r>
        <w:t>The Korean data center market is expected to grow, driven by increasing demand for AI computing power, with potential opportunities for Tesla's 'Megapod' [1]</w:t>
      </w:r>
    </w:p>
    <w:p>
      <w:pPr>
        <w:pStyle w:val="Heading2"/>
      </w:pPr>
      <w:r>
        <w:t>4.3 SWOT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Strengths</w:t>
            </w:r>
          </w:p>
        </w:tc>
        <w:tc>
          <w:tcPr>
            <w:tcW w:type="dxa" w:w="4392"/>
          </w:tcPr>
          <w:p>
            <w:r>
              <w:rPr>
                <w:b/>
              </w:rPr>
              <w:t>Weaknesses</w:t>
            </w:r>
          </w:p>
        </w:tc>
      </w:tr>
      <w:tr>
        <w:tc>
          <w:tcPr>
            <w:tcW w:type="dxa" w:w="4392"/>
          </w:tcPr>
          <w:p>
            <w:r>
              <w:t>Tesla's brand recognition and expertise in AI [1]</w:t>
            </w:r>
          </w:p>
        </w:tc>
        <w:tc>
          <w:tcPr>
            <w:tcW w:type="dxa" w:w="4392"/>
          </w:tcPr>
          <w:p>
            <w:r/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b/>
              </w:rPr>
              <w:t>Opportunities</w:t>
            </w:r>
          </w:p>
        </w:tc>
        <w:tc>
          <w:tcPr>
            <w:tcW w:type="dxa" w:w="4392"/>
          </w:tcPr>
          <w:p>
            <w:r>
              <w:rPr>
                <w:b/>
              </w:rPr>
              <w:t>Threats</w:t>
            </w:r>
          </w:p>
        </w:tc>
      </w:tr>
      <w:tr>
        <w:tc>
          <w:tcPr>
            <w:tcW w:type="dxa" w:w="4392"/>
          </w:tcPr>
          <w:p>
            <w:r>
              <w:t>Growing demand for AI computing power in Korea [1]</w:t>
            </w:r>
          </w:p>
        </w:tc>
        <w:tc>
          <w:tcPr>
            <w:tcW w:type="dxa" w:w="4392"/>
          </w:tcPr>
          <w:p>
            <w:r>
              <w:t>Competition from existing AI data center solutions [1]</w:t>
            </w:r>
          </w:p>
        </w:tc>
      </w:tr>
    </w:tbl>
    <w:p/>
    <w:p>
      <w:pPr>
        <w:pStyle w:val="Heading1"/>
      </w:pPr>
      <w:r>
        <w:t>SECTION 9 – SOURCES &amp; METHODOLOGY</w:t>
      </w:r>
    </w:p>
    <w:p>
      <w:pPr>
        <w:pStyle w:val="Heading2"/>
      </w:pPr>
      <w:r>
        <w:t>9.1 Source Registry</w:t>
      </w:r>
    </w:p>
    <w:p>
      <w:r>
        <w:t>Academic &amp; Research:</w:t>
      </w:r>
    </w:p>
    <w:p>
      <w:pPr>
        <w:pStyle w:val="ListBullet"/>
      </w:pPr>
      <w:r>
        <w:t>IEEE Xplore – ieee.org/xplore</w:t>
      </w:r>
    </w:p>
    <w:p>
      <w:pPr>
        <w:pStyle w:val="ListBullet"/>
      </w:pPr>
      <w:r>
        <w:t>ACM Digital Library – dl.acm.org</w:t>
      </w:r>
    </w:p>
    <w:p>
      <w:pPr>
        <w:pStyle w:val="ListBullet"/>
      </w:pPr>
      <w:r>
        <w:t>arXiv – arxiv.org</w:t>
      </w:r>
    </w:p>
    <w:p>
      <w:pPr>
        <w:pStyle w:val="ListBullet"/>
      </w:pPr>
      <w:r>
        <w:t>Fraunhofer-Publica – publica.fraunhofer.de</w:t>
      </w:r>
    </w:p>
    <w:p>
      <w:pPr>
        <w:pStyle w:val="ListBullet"/>
      </w:pPr>
      <w:r>
        <w:t>ETRI Journal – etri.re.kr</w:t>
      </w:r>
    </w:p>
    <w:p>
      <w:pPr>
        <w:pStyle w:val="ListBullet"/>
      </w:pPr>
      <w:r>
        <w:t>KISTI – kisti.re.kr</w:t>
      </w:r>
    </w:p>
    <w:p>
      <w:pPr>
        <w:pStyle w:val="ListBullet"/>
      </w:pPr>
      <w:r>
        <w:t>Springer / Elsevier / Wiley – via institutional access</w:t>
      </w:r>
    </w:p>
    <w:p>
      <w:r>
        <w:t>Market Intelligence:</w:t>
      </w:r>
    </w:p>
    <w:p>
      <w:pPr>
        <w:pStyle w:val="ListBullet"/>
      </w:pPr>
      <w:r>
        <w:t>Gartner – gartner.com</w:t>
      </w:r>
    </w:p>
    <w:p>
      <w:pPr>
        <w:pStyle w:val="ListBullet"/>
      </w:pPr>
      <w:r>
        <w:t>IDC – idc.com</w:t>
      </w:r>
    </w:p>
    <w:p>
      <w:pPr>
        <w:pStyle w:val="ListBullet"/>
      </w:pPr>
      <w:r>
        <w:t>Statista – statista.com</w:t>
      </w:r>
    </w:p>
    <w:p>
      <w:pPr>
        <w:pStyle w:val="ListBullet"/>
      </w:pPr>
      <w:r>
        <w:t>McKinsey Global Institute – mckinsey.com/mgi</w:t>
      </w:r>
    </w:p>
    <w:p>
      <w:pPr>
        <w:pStyle w:val="ListBullet"/>
      </w:pPr>
      <w:r>
        <w:t>KIET – kiet.re.kr</w:t>
      </w:r>
    </w:p>
    <w:p>
      <w:pPr>
        <w:pStyle w:val="ListBullet"/>
      </w:pPr>
      <w:r>
        <w:t>KOTRA – kotra.or.kr</w:t>
      </w:r>
    </w:p>
    <w:p>
      <w:pPr>
        <w:pStyle w:val="ListBullet"/>
      </w:pPr>
      <w:r>
        <w:t>KISDI – kisdi.re.kr</w:t>
      </w:r>
    </w:p>
    <w:p>
      <w:pPr>
        <w:pStyle w:val="ListBullet"/>
      </w:pPr>
      <w:r>
        <w:t>ADB – adb.org</w:t>
      </w:r>
    </w:p>
    <w:p>
      <w:pPr>
        <w:pStyle w:val="ListBullet"/>
      </w:pPr>
      <w:r>
        <w:t>OECD iLibrary – oecd-ilibrary.org</w:t>
      </w:r>
    </w:p>
    <w:p>
      <w:pPr>
        <w:pStyle w:val="ListBullet"/>
      </w:pPr>
      <w:r>
        <w:t>Eurostat – ec.europa.eu/eurostat</w:t>
      </w:r>
    </w:p>
    <w:p>
      <w:pPr>
        <w:pStyle w:val="ListBullet"/>
      </w:pPr>
      <w:r>
        <w:t>Destatis – destatis.de</w:t>
      </w:r>
    </w:p>
    <w:p>
      <w:pPr>
        <w:pStyle w:val="ListBullet"/>
      </w:pPr>
      <w:r>
        <w:t>KOSTAT – kostat.go.kr</w:t>
      </w:r>
    </w:p>
    <w:p>
      <w:r>
        <w:t>Patent &amp; IP:</w:t>
      </w:r>
    </w:p>
    <w:p>
      <w:pPr>
        <w:pStyle w:val="ListBullet"/>
      </w:pPr>
      <w:r>
        <w:t>Espacenet (EPO) – espacenet.epo.org</w:t>
      </w:r>
    </w:p>
    <w:p>
      <w:pPr>
        <w:pStyle w:val="ListBullet"/>
      </w:pPr>
      <w:r>
        <w:t>KIPO – kipo.go.kr</w:t>
      </w:r>
    </w:p>
    <w:p>
      <w:pPr>
        <w:pStyle w:val="ListBullet"/>
      </w:pPr>
      <w:r>
        <w:t>DPMA – dpma.de</w:t>
      </w:r>
    </w:p>
    <w:p>
      <w:pPr>
        <w:pStyle w:val="ListBullet"/>
      </w:pPr>
      <w:r>
        <w:t>JPO – j-platpat.inpit.go.jp</w:t>
      </w:r>
    </w:p>
    <w:p>
      <w:pPr>
        <w:pStyle w:val="ListBullet"/>
      </w:pPr>
      <w:r>
        <w:t>CNIPA – cnipa.gov.cn</w:t>
      </w:r>
    </w:p>
    <w:p>
      <w:pPr>
        <w:pStyle w:val="ListBullet"/>
      </w:pPr>
      <w:r>
        <w:t>Google Patents – patents.google.com</w:t>
      </w:r>
    </w:p>
    <w:p>
      <w:r>
        <w:t>Government &amp; Policy:</w:t>
      </w:r>
    </w:p>
    <w:p>
      <w:pPr>
        <w:pStyle w:val="ListBullet"/>
      </w:pPr>
      <w:r>
        <w:t>EU Commission – ec.europa.eu</w:t>
      </w:r>
    </w:p>
    <w:p>
      <w:pPr>
        <w:pStyle w:val="ListBullet"/>
      </w:pPr>
      <w:r>
        <w:t>BMBF – bmbf.de</w:t>
      </w:r>
    </w:p>
    <w:p>
      <w:pPr>
        <w:pStyle w:val="ListBullet"/>
      </w:pPr>
      <w:r>
        <w:t>MOTIE – motie.go.kr</w:t>
      </w:r>
    </w:p>
    <w:p>
      <w:pPr>
        <w:pStyle w:val="ListBullet"/>
      </w:pPr>
      <w:r>
        <w:t>MSIT – msit.go.kr</w:t>
      </w:r>
    </w:p>
    <w:p>
      <w:pPr>
        <w:pStyle w:val="ListBullet"/>
      </w:pPr>
      <w:r>
        <w:t>KISTEP – kistep.re.kr</w:t>
      </w:r>
    </w:p>
    <w:p>
      <w:pPr>
        <w:pStyle w:val="ListBullet"/>
      </w:pPr>
      <w:r>
        <w:t>IITP – iitp.kr</w:t>
      </w:r>
    </w:p>
    <w:p>
      <w:pPr>
        <w:pStyle w:val="ListBullet"/>
      </w:pPr>
      <w:r>
        <w:t>NIST – nist.gov</w:t>
      </w:r>
    </w:p>
    <w:p>
      <w:pPr>
        <w:pStyle w:val="ListBullet"/>
      </w:pPr>
      <w:r>
        <w:t>IEA – iea.org</w:t>
      </w:r>
    </w:p>
    <w:p>
      <w:pPr>
        <w:pStyle w:val="ListBullet"/>
      </w:pPr>
      <w:r>
        <w:t>NEDO – nedo.go.jp</w:t>
      </w:r>
    </w:p>
    <w:p>
      <w:pPr>
        <w:pStyle w:val="ListBullet"/>
      </w:pPr>
      <w:r>
        <w:t>METI – meti.go.jp</w:t>
      </w:r>
    </w:p>
    <w:p>
      <w:pPr>
        <w:pStyle w:val="ListBullet"/>
      </w:pPr>
      <w:r>
        <w:t>APEC – apec.org</w:t>
      </w:r>
    </w:p>
    <w:p>
      <w:pPr>
        <w:pStyle w:val="ListBullet"/>
      </w:pPr>
      <w:r>
        <w:t>NITI Aayog – niti.gov.in</w:t>
      </w:r>
    </w:p>
    <w:p>
      <w:pPr>
        <w:pStyle w:val="ListBullet"/>
      </w:pPr>
      <w:r>
        <w:t>EDB Singapore – edb.gov.sg</w:t>
      </w:r>
    </w:p>
    <w:p>
      <w:r>
        <w:br w:type="page"/>
      </w:r>
    </w:p>
    <w:p>
      <w:pPr>
        <w:pStyle w:val="Heading1"/>
      </w:pPr>
      <w:r>
        <w:t>References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r>
              <w:rPr>
                <w:b/>
              </w:rPr>
              <w:t>No.</w:t>
            </w:r>
          </w:p>
        </w:tc>
        <w:tc>
          <w:tcPr>
            <w:tcW w:type="dxa" w:w="1757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757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757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757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1757"/>
          </w:tcPr>
          <w:p>
            <w:r>
              <w:t>[1]</w:t>
            </w:r>
          </w:p>
        </w:tc>
        <w:tc>
          <w:tcPr>
            <w:tcW w:type="dxa" w:w="1757"/>
          </w:tcPr>
          <w:p>
            <w:r>
              <w:t>Electrek</w:t>
            </w:r>
          </w:p>
        </w:tc>
        <w:tc>
          <w:tcPr>
            <w:tcW w:type="dxa" w:w="1757"/>
          </w:tcPr>
          <w:p>
            <w:r>
              <w:t>Tesla plans to sell modular AI data center hardware called ‘Megapod’</w:t>
            </w:r>
          </w:p>
        </w:tc>
        <w:tc>
          <w:tcPr>
            <w:tcW w:type="dxa" w:w="1757"/>
          </w:tcPr>
          <w:p>
            <w:r>
              <w:t>2026-06-22</w:t>
            </w:r>
          </w:p>
        </w:tc>
        <w:tc>
          <w:tcPr>
            <w:tcW w:type="dxa" w:w="1757"/>
          </w:tcPr>
          <w:p>
            <w:r>
              <w:t>https://electrek.co/2026/06/21/tesla-megapod-ai-data-center-hardware/</w:t>
            </w:r>
          </w:p>
        </w:tc>
      </w:tr>
    </w:tbl>
    <w:p/>
    <w:p>
      <w:pPr>
        <w:pStyle w:val="Heading1"/>
      </w:pPr>
      <w:r>
        <w:t>Source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96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196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196"/>
          </w:tcPr>
          <w:p>
            <w:r>
              <w:rPr>
                <w:b/>
              </w:rPr>
              <w:t>Source URL</w:t>
            </w:r>
          </w:p>
        </w:tc>
      </w:tr>
      <w:tr>
        <w:tc>
          <w:tcPr>
            <w:tcW w:type="dxa" w:w="2196"/>
          </w:tcPr>
          <w:p>
            <w:r>
              <w:t>2026-06-22</w:t>
            </w:r>
          </w:p>
        </w:tc>
        <w:tc>
          <w:tcPr>
            <w:tcW w:type="dxa" w:w="2196"/>
          </w:tcPr>
          <w:p>
            <w:r>
              <w:t>Tesla plans to sell modular AI data center hardware called ‘Megapod’</w:t>
            </w:r>
          </w:p>
        </w:tc>
        <w:tc>
          <w:tcPr>
            <w:tcW w:type="dxa" w:w="2196"/>
          </w:tcPr>
          <w:p>
            <w:r>
              <w:t>energy</w:t>
            </w:r>
          </w:p>
        </w:tc>
        <w:tc>
          <w:tcPr>
            <w:tcW w:type="dxa" w:w="2196"/>
          </w:tcPr>
          <w:p>
            <w:hyperlink r:id="rId9">
              <w:r>
                <w:rPr>
                  <w:color w:val="0563C1"/>
                  <w:u w:val="single"/>
                </w:rPr>
                <w:t>https://electrek.co/2026/06/21/tesla-megapod-ai-data-center-hardware/</w:t>
              </w:r>
            </w:hyperlink>
          </w:p>
        </w:tc>
      </w:tr>
    </w:tbl>
    <w:p>
      <w:r>
        <w:br/>
        <w:t>— End of Report — Generated 2026-06-22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lectrek.co/2026/06/21/tesla-megapod-ai-data-center-hardwar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