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12 — Analyze text</w:t>
      </w:r>
    </w:p>
    <w:p>
      <w:pPr>
        <w:jc w:val="center"/>
      </w:pPr>
      <w:r>
        <w:rPr>
          <w:color w:val="888888"/>
          <w:sz w:val="20"/>
        </w:rPr>
        <w:t>Week 6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Students provisioned a Microsoft Foundry project and used the Azure Language Text Analytics API to build a hotel-review analysis application that performed language detection, named entity recognition, and PII redaction on a set of review documents. The app connected to the Text Analytics client via DefaultAzureCredential and printed entity categories, detected languages, and redacted PII versions of each review.</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Language Detection Output</w:t>
      </w:r>
    </w:p>
    <w:p>
      <w:r>
        <w:t>Console output showing each hotel review file with its detected language (e.g., 'Language: English') printed by the detect_language call.</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Entity Recognition Output</w:t>
      </w:r>
    </w:p>
    <w:p>
      <w:r>
        <w:t>Console output listing extracted named entities and their categories (Person, Location, Organization, DateTime) found in the review text by recognize_entities.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PII Redaction Output</w:t>
      </w:r>
    </w:p>
    <w:p>
      <w:r>
        <w:t>Console output displaying the PII-redacted version of a review document, with sensitive tokens replaced by asterisks as returned by recognize_pii_entities.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Text Analytics API returns a confidence score alongside each detected language. Under what circumstances might a low confidence score indicate that the API's result should not be trusted, and how would you handle that in production code?</w:t>
      </w:r>
    </w:p>
    <w:p>
      <w:pPr>
        <w:spacing w:after="720"/>
      </w:pPr>
      <w:r>
        <w:rPr>
          <w:i/>
          <w:color w:val="999999"/>
        </w:rPr>
        <w:t>[Your answer here]</w:t>
      </w:r>
    </w:p>
    <w:p>
      <w:r>
        <w:rPr>
          <w:b/>
          <w:sz w:val="22"/>
        </w:rPr>
        <w:t>2. Named entity recognition categorizes entities such as Person, Location, and Organization. How does understanding entity categories help a hotel analytics dashboard surface different business insights compared to simple keyword search?</w:t>
      </w:r>
    </w:p>
    <w:p>
      <w:pPr>
        <w:spacing w:after="720"/>
      </w:pPr>
      <w:r>
        <w:rPr>
          <w:i/>
          <w:color w:val="999999"/>
        </w:rPr>
        <w:t>[Your answer here]</w:t>
      </w:r>
    </w:p>
    <w:p>
      <w:r>
        <w:rPr>
          <w:b/>
          <w:sz w:val="22"/>
        </w:rPr>
        <w:t>3. PII redaction replaces sensitive tokens in the returned document but does not alter the original source. What architectural safeguards would you add to ensure that raw (unredacted) text is never logged or stored unintentionally in a pipeline that uses this API?</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