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jc w:val="center"/>
      </w:pPr>
      <w:r>
        <w:rPr>
          <w:color w:val="666666"/>
          <w:sz w:val="20"/>
        </w:rPr>
        <w:t>CSC 214 — Applied Azure AI</w:t>
      </w:r>
    </w:p>
    <w:p>
      <w:pPr>
        <w:jc w:val="center"/>
      </w:pPr>
      <w:r>
        <w:rPr>
          <w:b/>
          <w:color w:val="1A3C6E"/>
          <w:sz w:val="32"/>
        </w:rPr>
        <w:t>Lab 17 — Develop a Voice Live agent</w:t>
      </w:r>
    </w:p>
    <w:p>
      <w:pPr>
        <w:jc w:val="center"/>
      </w:pPr>
      <w:r>
        <w:rPr>
          <w:color w:val="888888"/>
          <w:sz w:val="20"/>
        </w:rPr>
        <w:t>Week 6  |  Required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t>Student Name: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Date Completed: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</w:tbl>
    <w:p/>
    <w:p>
      <w:r>
        <w:rPr>
          <w:b/>
          <w:color w:val="1A3C6E"/>
          <w:sz w:val="24"/>
        </w:rPr>
        <w:t>Lab Overview</w:t>
      </w:r>
    </w:p>
    <w:p>
      <w:r>
        <w:t>Students deployed a gpt-4.1-powered chat agent in Microsoft Foundry and built a Python client application using the Voice Live API that connected the agent to real-time microphone input and speaker output via WebRTC-based audio streaming with echo cancellation, noise reduction, and semantic voice-activity detection. The running application cycled through Listening, Processing, and Speaking states, displayed closed-caption transcripts of both sides of the conversation, and printed a full session transcript upon termination.</w:t>
      </w:r>
    </w:p>
    <w:p/>
    <w:p>
      <w:r>
        <w:rPr>
          <w:b/>
          <w:color w:val="1A3C6E"/>
          <w:sz w:val="24"/>
        </w:rPr>
        <w:t>Instructions</w:t>
      </w:r>
    </w:p>
    <w:p>
      <w:pPr>
        <w:spacing w:after="240"/>
      </w:pPr>
      <w:r>
        <w:t>For each screenshot section below, insert a screenshot from your Skillable lab session that matches the description. Resize your screenshots to fit the page width. Then answer the reflection questions at the end of the worksheet.</w:t>
      </w:r>
    </w:p>
    <w:p>
      <w:r>
        <w:rPr>
          <w:b/>
          <w:sz w:val="22"/>
        </w:rPr>
        <w:t>Screenshot 1 — Voice Live Listening State</w:t>
      </w:r>
    </w:p>
    <w:p>
      <w:r>
        <w:t>Terminal output of chat-client.py showing the 'Listening...' status indicator and microphone-active prompt as the Voice Live API waits for the user to speak.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2 — Voice Live Speaking State</w:t>
      </w:r>
    </w:p>
    <w:p>
      <w:r>
        <w:t>Terminal output displaying 'Speaking...' status alongside the closed-caption text of the agent's synthesized spoken response streamed back through the Voice Live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3 — Session Transcript</w:t>
      </w:r>
    </w:p>
    <w:p>
      <w:r>
        <w:t>End-of-session transcript printed to the console showing the full turn-by-turn exchange—user prompts and agent responses—captured during the Voice Live conversation.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color w:val="1A3C6E"/>
          <w:sz w:val="24"/>
        </w:rPr>
        <w:t>Reflection Questions</w:t>
      </w:r>
    </w:p>
    <w:p>
      <w:r>
        <w:rPr>
          <w:b/>
          <w:sz w:val="22"/>
        </w:rPr>
        <w:t>1. The Voice Live API uses semantic voice-activity detection (VAD) to determine when a speaker has finished a turn rather than relying on a fixed silence timeout. What advantage does semantic VAD provide for natural conversation, and what failure modes could it introduce if the agent misidentifies a mid-sentence pause as a turn boundary?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2. The chat-client.py application enables audio echo cancellation and noise reduction before establishing the Voice Live session. Why are these preprocessing steps especially important for a voice-based agent compared to a text-based chatbot, and what types of environments would most benefit from them?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3. The Voice Live API (api-version 2026-01-01-preview) connects a Foundry-hosted agent to real-time audio rather than text. What additional latency constraints and infrastructure considerations—compared to a synchronous REST API call—must you account for when designing a production voice agent that will serve hundreds of simultaneous users?</w:t>
      </w:r>
    </w:p>
    <w:p>
      <w:pPr>
        <w:spacing w:after="720"/>
      </w:pPr>
      <w:r>
        <w:rPr>
          <w:i/>
          <w:color w:val="999999"/>
        </w:rPr>
        <w:t>[Your answer here]</w:t>
      </w:r>
    </w:p>
    <w:p/>
    <w:p>
      <w:pPr>
        <w:jc w:val="center"/>
      </w:pPr>
      <w:r>
        <w:rPr>
          <w:i/>
          <w:color w:val="888888"/>
          <w:sz w:val="18"/>
        </w:rPr>
        <w:t>Save this worksheet as a PDF and upload it to the Lab submission area in Brightspace.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