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jc w:val="center"/>
      </w:pPr>
      <w:r>
        <w:rPr>
          <w:color w:val="666666"/>
          <w:sz w:val="20"/>
        </w:rPr>
        <w:t>CSC 214 — Applied Azure AI</w:t>
      </w:r>
    </w:p>
    <w:p>
      <w:pPr>
        <w:jc w:val="center"/>
      </w:pPr>
      <w:r>
        <w:rPr>
          <w:b/>
          <w:color w:val="1A3C6E"/>
          <w:sz w:val="32"/>
        </w:rPr>
        <w:t>Lab 04 — Create a generative AI app that uses your own data</w:t>
      </w:r>
    </w:p>
    <w:p>
      <w:pPr>
        <w:jc w:val="center"/>
      </w:pPr>
      <w:r>
        <w:rPr>
          <w:color w:val="888888"/>
          <w:sz w:val="20"/>
        </w:rPr>
        <w:t>Week 2  |  Required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t>Student Name: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Date Completed: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</w:tbl>
    <w:p/>
    <w:p>
      <w:r>
        <w:rPr>
          <w:b/>
          <w:color w:val="1A3C6E"/>
          <w:sz w:val="24"/>
        </w:rPr>
        <w:t>Lab Overview</w:t>
      </w:r>
    </w:p>
    <w:p>
      <w:r>
        <w:t>In this lab, you extended a Python chat application to perform retrieval-augmented generation (RAG) by uploading proprietary travel brochure PDFs into a Microsoft Foundry vector store and connecting it to a gpt-4.1 deployment via the file_search tool. You also integrated the web_search tool so the model could augment responses with live information, and observed how grounding the model in private documents changes response quality and accuracy.</w:t>
      </w:r>
    </w:p>
    <w:p/>
    <w:p>
      <w:r>
        <w:rPr>
          <w:b/>
          <w:color w:val="1A3C6E"/>
          <w:sz w:val="24"/>
        </w:rPr>
        <w:t>Instructions</w:t>
      </w:r>
    </w:p>
    <w:p>
      <w:pPr>
        <w:spacing w:after="240"/>
      </w:pPr>
      <w:r>
        <w:t>For each screenshot section below, insert a screenshot from your Skillable lab session that matches the description. Resize your screenshots to fit the page width. Then answer the reflection questions at the end of the worksheet.</w:t>
      </w:r>
    </w:p>
    <w:p>
      <w:r>
        <w:rPr>
          <w:b/>
          <w:sz w:val="22"/>
        </w:rPr>
        <w:t>Screenshot 1 — Playground Web Search Comparison</w:t>
      </w:r>
    </w:p>
    <w:p>
      <w:r>
        <w:t>In the Microsoft Foundry model playground, capture a screenshot showing the two chat responses side-by-side: the first response (without web_search) giving a generic answer to the tourist activities query, and the second response (after enabling the web_search tool) providing grounded, current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2 — Vector Store Upload Confirmation</w:t>
      </w:r>
    </w:p>
    <w:p>
      <w:r>
        <w:t>In the VS Code integrated terminal, after running tools-app.py and the vector store creation code executes, capture a screenshot showing the terminal output confirming the number of PDF files successfully uploaded to the 'travel-brochures' vector store.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3 — RAG Response Output</w:t>
      </w:r>
    </w:p>
    <w:p>
      <w:r>
        <w:t>In the VS Code terminal running tools-app.py, after submitting the follow-up query 'What hotels does Margie's Travel offer there?', capture a screenshot of the model's response showing hotel information retrieved from the brochure files via the file_search tool.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color w:val="1A3C6E"/>
          <w:sz w:val="24"/>
        </w:rPr>
        <w:t>Reflection Questions</w:t>
      </w:r>
    </w:p>
    <w:p>
      <w:r>
        <w:rPr>
          <w:b/>
          <w:sz w:val="22"/>
        </w:rPr>
        <w:t>1. How does the file_search tool's vector store approach to RAG differ from a traditional keyword search over documents, and why does semantic similarity matching matter for travel-query use cases?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2. In this lab, both file_search and web_search were provided as tools in the same API call. How does the model decide which tool to invoke for a given user query, and what happens when neither tool returns relevant results?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3. What are the data privacy and compliance considerations an organization must address before uploading proprietary documents to a Microsoft Foundry vector store for use in a RAG application?</w:t>
      </w:r>
    </w:p>
    <w:p>
      <w:pPr>
        <w:spacing w:after="720"/>
      </w:pPr>
      <w:r>
        <w:rPr>
          <w:i/>
          <w:color w:val="999999"/>
        </w:rPr>
        <w:t>[Your answer here]</w:t>
      </w:r>
    </w:p>
    <w:p/>
    <w:p>
      <w:pPr>
        <w:jc w:val="center"/>
      </w:pPr>
      <w:r>
        <w:rPr>
          <w:i/>
          <w:color w:val="888888"/>
          <w:sz w:val="18"/>
        </w:rPr>
        <w:t>Save this worksheet as a PDF and upload it to the Lab submission area in Brightspace.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