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jc w:val="center"/>
      </w:pPr>
      <w:r>
        <w:rPr>
          <w:color w:val="666666"/>
          <w:sz w:val="20"/>
        </w:rPr>
        <w:t>CSC 214 — Applied Azure AI</w:t>
      </w:r>
    </w:p>
    <w:p>
      <w:pPr>
        <w:jc w:val="center"/>
      </w:pPr>
      <w:r>
        <w:rPr>
          <w:b/>
          <w:color w:val="1A3C6E"/>
          <w:sz w:val="32"/>
        </w:rPr>
        <w:t>Lab 06 — Explore AI Agent development</w:t>
      </w:r>
    </w:p>
    <w:p>
      <w:pPr>
        <w:jc w:val="center"/>
      </w:pPr>
      <w:r>
        <w:rPr>
          <w:color w:val="888888"/>
          <w:sz w:val="20"/>
        </w:rPr>
        <w:t>Week 3  |  Required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t>Student Name: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t>Date Completed: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</w:tbl>
    <w:p/>
    <w:p>
      <w:r>
        <w:rPr>
          <w:b/>
          <w:color w:val="1A3C6E"/>
          <w:sz w:val="24"/>
        </w:rPr>
        <w:t>Lab Overview</w:t>
      </w:r>
    </w:p>
    <w:p>
      <w:r>
        <w:t>In this lab, you created an expense-agent in the Microsoft Foundry portal agent playground. You configured the agent with instructions for handling corporate expense claims, uploaded Expenses_Policy.docx for file search grounding, and added the Code interpreter tool. You tested the agent by asking about expense policies and submitting a sample expense claim.</w:t>
      </w:r>
    </w:p>
    <w:p/>
    <w:p>
      <w:r>
        <w:rPr>
          <w:b/>
          <w:color w:val="1A3C6E"/>
          <w:sz w:val="24"/>
        </w:rPr>
        <w:t>Instructions</w:t>
      </w:r>
    </w:p>
    <w:p>
      <w:pPr>
        <w:spacing w:after="240"/>
      </w:pPr>
      <w:r>
        <w:t>For each screenshot section below, insert a screenshot from your Skillable lab session that matches the description. Resize your screenshots to fit the page width. Then answer the reflection questions at the end of the worksheet.</w:t>
      </w:r>
    </w:p>
    <w:p>
      <w:r>
        <w:rPr>
          <w:b/>
          <w:sz w:val="22"/>
        </w:rPr>
        <w:t>Screenshot 1 — Agent Configuration</w:t>
      </w:r>
    </w:p>
    <w:p>
      <w:r>
        <w:t>In the Microsoft Foundry portal agent playground, capture the agent setup showing the expense-agent name, the instructions text, and the Tools section listing both File search (with 1 file) and Code interpreter.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2 — Policy Question Response</w:t>
      </w:r>
    </w:p>
    <w:p>
      <w:r>
        <w:t>In the playground chat, after asking 'What's the maximum I can claim for meals?', capture the agent's response showing it referenced the Expenses_Policy.docx grounding data to provide a specific answer.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3 — Expense Claim Submission</w:t>
      </w:r>
    </w:p>
    <w:p>
      <w:r>
        <w:t>After providing your email, a meal description, and an amount to the agent, capture the response where the code interpreter generated a downloadable expense claim text file with the claim details.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4 — Code Interpreter Output</w:t>
      </w:r>
    </w:p>
    <w:p>
      <w:r>
        <w:t>Download the generated expense claim file and capture the file contents showing the formatted claim with your email, description, and amount details.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color w:val="1A3C6E"/>
          <w:sz w:val="24"/>
        </w:rPr>
        <w:t>Reflection Questions</w:t>
      </w:r>
    </w:p>
    <w:p>
      <w:r>
        <w:rPr>
          <w:b/>
          <w:sz w:val="22"/>
        </w:rPr>
        <w:t>1. How did the file search tool use the uploaded Expenses_Policy.docx to ground the agent's response about meal claims? Was the answer specific to the policy document, or did it include information from outside the grounding data?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2. When you submitted an expense claim, the agent used the Code interpreter to generate a text file. How does this tool differ from the file search tool, and why are both needed for a complete expense processing agent?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3. The agent was configured with specific instructions about collecting email, description, and amount before creating a claim. How do these instructions shape the agent's conversational behavior compared to a general-purpose chatbot?</w:t>
      </w:r>
    </w:p>
    <w:p>
      <w:pPr>
        <w:spacing w:after="720"/>
      </w:pPr>
      <w:r>
        <w:rPr>
          <w:i/>
          <w:color w:val="999999"/>
        </w:rPr>
        <w:t>[Your answer here]</w:t>
      </w:r>
    </w:p>
    <w:p/>
    <w:p>
      <w:pPr>
        <w:jc w:val="center"/>
      </w:pPr>
      <w:r>
        <w:rPr>
          <w:i/>
          <w:color w:val="888888"/>
          <w:sz w:val="18"/>
        </w:rPr>
        <w:t>Save this worksheet as a PDF and upload it to the Lab submission area in Brightspace.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