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jc w:val="center"/>
      </w:pPr>
      <w:r>
        <w:rPr>
          <w:color w:val="666666"/>
          <w:sz w:val="20"/>
        </w:rPr>
        <w:t>CSC 214 — Applied Azure AI</w:t>
      </w:r>
    </w:p>
    <w:p>
      <w:pPr>
        <w:jc w:val="center"/>
      </w:pPr>
      <w:r>
        <w:rPr>
          <w:b/>
          <w:color w:val="1A3C6E"/>
          <w:sz w:val="32"/>
        </w:rPr>
        <w:t>Lab 09 — Develop an Azure AI chat agent with the Microsoft Agent Framework SDK</w:t>
      </w:r>
    </w:p>
    <w:p>
      <w:pPr>
        <w:jc w:val="center"/>
      </w:pPr>
      <w:r>
        <w:rPr>
          <w:color w:val="888888"/>
          <w:sz w:val="20"/>
        </w:rPr>
        <w:t>Week 5  |  Required</w:t>
      </w:r>
    </w:p>
    <w:p/>
    <w:tbl>
      <w:tblPr>
        <w:tblStyle w:val="TableGrid"/>
        <w:tblW w:type="auto" w:w="0"/>
        <w:jc w:val="center"/>
        <w:tblLook w:firstColumn="1" w:firstRow="1" w:lastColumn="0" w:lastRow="0" w:noHBand="0" w:noVBand="1" w:val="04A0"/>
      </w:tblPr>
      <w:tblGrid>
        <w:gridCol w:w="4680"/>
        <w:gridCol w:w="4680"/>
      </w:tblGrid>
      <w:tr>
        <w:tc>
          <w:tcPr>
            <w:tcW w:type="dxa" w:w="2160"/>
          </w:tcPr>
          <w:p>
            <w:pPr>
              <w:spacing w:before="40" w:after="40"/>
            </w:pPr>
            <w:r>
              <w:t>Student Name:</w:t>
            </w:r>
          </w:p>
        </w:tc>
        <w:tc>
          <w:tcPr>
            <w:tcW w:type="dxa" w:w="6480"/>
          </w:tcPr>
          <w:p>
            <w:pPr>
              <w:spacing w:before="40" w:after="40"/>
            </w:pPr>
            <w:r/>
          </w:p>
        </w:tc>
      </w:tr>
      <w:tr>
        <w:tc>
          <w:tcPr>
            <w:tcW w:type="dxa" w:w="2160"/>
          </w:tcPr>
          <w:p>
            <w:pPr>
              <w:spacing w:before="40" w:after="40"/>
            </w:pPr>
            <w:r>
              <w:t>Date Completed:</w:t>
            </w:r>
          </w:p>
        </w:tc>
        <w:tc>
          <w:tcPr>
            <w:tcW w:type="dxa" w:w="6480"/>
          </w:tcPr>
          <w:p>
            <w:pPr>
              <w:spacing w:before="40" w:after="40"/>
            </w:pPr>
            <w:r/>
          </w:p>
        </w:tc>
      </w:tr>
    </w:tbl>
    <w:p/>
    <w:p>
      <w:r>
        <w:rPr>
          <w:b/>
          <w:color w:val="1A3C6E"/>
          <w:sz w:val="24"/>
        </w:rPr>
        <w:t>Lab Overview</w:t>
      </w:r>
    </w:p>
    <w:p>
      <w:r>
        <w:t>In this lab, you used the Microsoft Agent Framework SDK to create an AI agent that processes expense claims. You implemented a custom tool function decorated with @tool that simulates sending email, configured the agent with AzureOpenAIResponsesClient and AzureCliCredential, and ran the agent to automatically compose and submit an itemized expense claim email to 'expenses@contoso.com'.</w:t>
      </w:r>
    </w:p>
    <w:p/>
    <w:p>
      <w:r>
        <w:rPr>
          <w:b/>
          <w:color w:val="1A3C6E"/>
          <w:sz w:val="24"/>
        </w:rPr>
        <w:t>Instructions</w:t>
      </w:r>
    </w:p>
    <w:p>
      <w:pPr>
        <w:spacing w:after="240"/>
      </w:pPr>
      <w:r>
        <w:t>For each screenshot section below, insert a screenshot from your Skillable lab session that matches the description. Resize your screenshots to fit the page width. Then answer the reflection questions at the end of the worksheet.</w:t>
      </w:r>
    </w:p>
    <w:p>
      <w:r>
        <w:rPr>
          <w:b/>
          <w:sz w:val="22"/>
        </w:rPr>
        <w:t>Screenshot 1 — Completed agent-framework.py Code</w:t>
      </w:r>
    </w:p>
    <w:p>
      <w:r>
        <w:t>After adding all code sections to 'agent-framework.py' (the import references including 'agent_framework' and 'AzureOpenAIResponsesClient', the Agent initialization with instructions and the 'submit_claim' tool, and the agent.run() invocation), capture Cloud Shell showing the completed code file with the agent creation block and the submit_claim tool function visible.</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2 — Agent Expense Claim Output</w:t>
      </w:r>
    </w:p>
    <w:p>
      <w:r>
        <w:t>After running 'python agent-framework.py' and entering the prompt 'Submit an expense claim', capture the full terminal output showing: the simulated email printout with 'To: expenses@contoso.com', 'Subject: Expense Claim', the itemized expense body with a total amount, and the agent's confirmation message (prefixed with '# Agent:') confirming the claim was submitted.</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color w:val="1A3C6E"/>
          <w:sz w:val="24"/>
        </w:rPr>
        <w:t>Reflection Questions</w:t>
      </w:r>
    </w:p>
    <w:p>
      <w:r>
        <w:rPr>
          <w:b/>
          <w:sz w:val="22"/>
        </w:rPr>
        <w:t>1. The 'submit_claim' tool function was decorated with '@tool(approval_mode="never_require")'. What does this approval mode mean for the agent's autonomy, and in what real-world scenarios might you want to change this to require approval before the agent sends an email?</w:t>
      </w:r>
    </w:p>
    <w:p>
      <w:pPr>
        <w:spacing w:after="720"/>
      </w:pPr>
      <w:r>
        <w:rPr>
          <w:i/>
          <w:color w:val="999999"/>
        </w:rPr>
        <w:t>[Your answer here]</w:t>
      </w:r>
    </w:p>
    <w:p>
      <w:r>
        <w:rPr>
          <w:b/>
          <w:sz w:val="22"/>
        </w:rPr>
        <w:t>2. The Agent was initialized with specific instructions telling it to send to 'expenses@contoso.com' with a particular subject line and to not ask the user for more information. How do these instructions constrain the agent's behavior compared to a more open-ended agent, and why is this level of specificity important for an expense processing use case?</w:t>
      </w:r>
    </w:p>
    <w:p>
      <w:pPr>
        <w:spacing w:after="720"/>
      </w:pPr>
      <w:r>
        <w:rPr>
          <w:i/>
          <w:color w:val="999999"/>
        </w:rPr>
        <w:t>[Your answer here]</w:t>
      </w:r>
    </w:p>
    <w:p>
      <w:r>
        <w:rPr>
          <w:b/>
          <w:sz w:val="22"/>
        </w:rPr>
        <w:t>3. In this lab, the Microsoft Agent Framework SDK used 'AzureOpenAIResponsesClient' with 'AzureCliCredential' for authentication, while earlier agent labs used 'AIProjectClient' with 'DefaultAzureCredential'. How does the Agent Framework SDK simplify the process of creating and running an agent compared to the lower-level approach?</w:t>
      </w:r>
    </w:p>
    <w:p>
      <w:pPr>
        <w:spacing w:after="720"/>
      </w:pPr>
      <w:r>
        <w:rPr>
          <w:i/>
          <w:color w:val="999999"/>
        </w:rPr>
        <w:t>[Your answer here]</w:t>
      </w:r>
    </w:p>
    <w:p/>
    <w:p>
      <w:pPr>
        <w:jc w:val="center"/>
      </w:pPr>
      <w:r>
        <w:rPr>
          <w:i/>
          <w:color w:val="888888"/>
          <w:sz w:val="18"/>
        </w:rPr>
        <w:t>Save this worksheet as a PDF and upload it to the Lab submission area in Brightspace.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