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22 — Extract information from multimodal content</w:t>
      </w:r>
    </w:p>
    <w:p>
      <w:pPr>
        <w:jc w:val="center"/>
      </w:pPr>
      <w:r>
        <w:rPr>
          <w:color w:val="888888"/>
          <w:sz w:val="20"/>
        </w:rPr>
        <w:t>Week 8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created a Microsoft Foundry project and used Azure Content Understanding to build custom analyzers for extracting structured data from multimodal content. You created and tested analyzers for four content types: invoices (extracting vendor and total), presentation slides (extracting title and key points), voicemail recordings (extracting caller and summary), and video conference recordings (extracting participants and action items).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Invoice Analyzer Results</w:t>
      </w:r>
    </w:p>
    <w:p>
      <w:r>
        <w:t>After creating and running the invoice analyzer in Cloud Shell, capture the terminal output showing the extracted structured data from the sample invoice, including the vendor name and total amount fields.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Slide or Audio Analyzer Results</w:t>
      </w:r>
    </w:p>
    <w:p>
      <w:r>
        <w:t>After creating and running either the slide analyzer or voicemail analyzer, capture the terminal output showing the extracted data fields (e.g., slide title and key points, or caller name and message summary).</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Video Conference Analyzer Results</w:t>
      </w:r>
    </w:p>
    <w:p>
      <w:r>
        <w:t>After creating and running the video conference analyzer, capture the terminal output showing the extracted participants list and action items from the sample video recording.</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Content Understanding uses custom schemas to define what information to extract from each content type. How does defining a schema upfront improve the reliability and usefulness of the extracted data compared to asking a general-purpose model to summarize the content?</w:t>
      </w:r>
    </w:p>
    <w:p>
      <w:pPr>
        <w:spacing w:after="720"/>
      </w:pPr>
      <w:r>
        <w:rPr>
          <w:i/>
          <w:color w:val="999999"/>
        </w:rPr>
        <w:t>[Your answer here]</w:t>
      </w:r>
    </w:p>
    <w:p>
      <w:r>
        <w:rPr>
          <w:b/>
          <w:sz w:val="22"/>
        </w:rPr>
        <w:t>2. You built analyzers for four different content types (invoice, slide, voicemail, video). What common patterns did you notice in how Content Understanding processes these different modalities, and what differences exist in how it handles visual, audio, and video content?</w:t>
      </w:r>
    </w:p>
    <w:p>
      <w:pPr>
        <w:spacing w:after="720"/>
      </w:pPr>
      <w:r>
        <w:rPr>
          <w:i/>
          <w:color w:val="999999"/>
        </w:rPr>
        <w:t>[Your answer here]</w:t>
      </w:r>
    </w:p>
    <w:p>
      <w:r>
        <w:rPr>
          <w:b/>
          <w:sz w:val="22"/>
        </w:rPr>
        <w:t>3. In a real enterprise scenario, how could you combine these four Content Understanding analyzers into an automated document processing pipeline? Describe a workflow where incoming content is automatically classified and routed to the appropriate analyzer.</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