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40"/>
        </w:rPr>
        <w:t>PINNACLE INDUSTRIES LTD.</w:t>
      </w:r>
    </w:p>
    <w:p>
      <w:pPr>
        <w:jc w:val="center"/>
      </w:pPr>
      <w:r>
        <w:rPr>
          <w:color w:val="2E5E8E"/>
          <w:sz w:val="28"/>
        </w:rPr>
        <w:t>Quality Management System Procedure</w:t>
      </w:r>
    </w:p>
    <w:p>
      <w:pPr>
        <w:jc w:val="center"/>
      </w:pPr>
      <w:r>
        <w:rPr>
          <w:b/>
          <w:color w:val="1B3A5C"/>
          <w:sz w:val="52"/>
        </w:rPr>
        <w:t>Risk and Opportunity Management</w:t>
      </w:r>
    </w:p>
    <w:p>
      <w:pPr>
        <w:jc w:val="center"/>
      </w:pPr>
      <w:r>
        <w:rPr>
          <w:color w:val="2E5E8E"/>
          <w:sz w:val="32"/>
        </w:rPr>
        <w:t>QP-007</w:t>
      </w:r>
    </w:p>
    <w:p>
      <w:pPr>
        <w:jc w:val="center"/>
      </w:pPr>
      <w:r>
        <w:rPr>
          <w:color w:val="646464"/>
          <w:sz w:val="22"/>
        </w:rPr>
        <w:t>Version: 3.0</w:t>
        <w:br/>
      </w:r>
      <w:r>
        <w:rPr>
          <w:color w:val="646464"/>
          <w:sz w:val="22"/>
        </w:rPr>
        <w:t>Effective Date: May 6, 2026</w:t>
        <w:br/>
      </w:r>
      <w:r>
        <w:rPr>
          <w:color w:val="646464"/>
          <w:sz w:val="22"/>
        </w:rPr>
        <w:t>Classification: Controlled Document</w:t>
        <w:br/>
      </w:r>
    </w:p>
    <w:p>
      <w:pPr>
        <w:jc w:val="center"/>
      </w:pPr>
      <w:r>
        <w:rPr>
          <w:i/>
          <w:color w:val="646464"/>
          <w:sz w:val="18"/>
        </w:rPr>
        <w:t>This document is the property of Pinnacle Industries Ltd.</w:t>
        <w:br/>
        <w:t>Unauthorized reproduction or distribution is prohibited.</w:t>
      </w:r>
    </w:p>
    <w:p>
      <w:r>
        <w:br w:type="page"/>
      </w:r>
    </w:p>
    <w:p>
      <w:pPr>
        <w:pStyle w:val="Heading1"/>
      </w:pPr>
      <w:r>
        <w:rPr>
          <w:color w:val="1B3A5C"/>
        </w:rPr>
        <w:t>Document Control Information</w:t>
      </w:r>
    </w:p>
    <w:tbl>
      <w:tblPr>
        <w:tblStyle w:val="TableGrid"/>
        <w:tblW w:type="auto" w:w="0"/>
        <w:jc w:val="center"/>
        <w:tblLook w:firstColumn="1" w:firstRow="1" w:lastColumn="0" w:lastRow="0" w:noHBand="0" w:noVBand="1" w:val="04A0"/>
      </w:tblPr>
      <w:tblGrid>
        <w:gridCol w:w="4703"/>
        <w:gridCol w:w="4703"/>
      </w:tblGrid>
      <w:tr>
        <w:tc>
          <w:tcPr>
            <w:tcW w:type="dxa" w:w="2835"/>
            <w:shd w:fill="1B3A5C"/>
          </w:tcPr>
          <w:p>
            <w:r/>
            <w:r>
              <w:rPr>
                <w:b/>
                <w:color w:val="FFFFFF"/>
                <w:sz w:val="18"/>
              </w:rPr>
              <w:t>Field</w:t>
            </w:r>
          </w:p>
        </w:tc>
        <w:tc>
          <w:tcPr>
            <w:tcW w:type="dxa" w:w="7370"/>
            <w:shd w:fill="1B3A5C"/>
          </w:tcPr>
          <w:p>
            <w:r/>
            <w:r>
              <w:rPr>
                <w:b/>
                <w:color w:val="FFFFFF"/>
                <w:sz w:val="18"/>
              </w:rPr>
              <w:t>Details</w:t>
            </w:r>
          </w:p>
        </w:tc>
      </w:tr>
      <w:tr>
        <w:tc>
          <w:tcPr>
            <w:tcW w:type="dxa" w:w="2835"/>
          </w:tcPr>
          <w:p>
            <w:r/>
            <w:r>
              <w:rPr>
                <w:sz w:val="18"/>
              </w:rPr>
              <w:t>Document Number</w:t>
            </w:r>
          </w:p>
        </w:tc>
        <w:tc>
          <w:tcPr>
            <w:tcW w:type="dxa" w:w="7370"/>
          </w:tcPr>
          <w:p>
            <w:r/>
            <w:r>
              <w:rPr>
                <w:sz w:val="18"/>
              </w:rPr>
              <w:t>QMS-PM-001 / QP-007</w:t>
            </w:r>
          </w:p>
        </w:tc>
      </w:tr>
      <w:tr>
        <w:tc>
          <w:tcPr>
            <w:tcW w:type="dxa" w:w="2835"/>
            <w:shd w:fill="F0F4F8"/>
          </w:tcPr>
          <w:p>
            <w:r/>
            <w:r>
              <w:rPr>
                <w:sz w:val="18"/>
              </w:rPr>
              <w:t>Version</w:t>
            </w:r>
          </w:p>
        </w:tc>
        <w:tc>
          <w:tcPr>
            <w:tcW w:type="dxa" w:w="7370"/>
            <w:shd w:fill="F0F4F8"/>
          </w:tcPr>
          <w:p>
            <w:r/>
            <w:r>
              <w:rPr>
                <w:sz w:val="18"/>
              </w:rPr>
              <w:t>3.0</w:t>
            </w:r>
          </w:p>
        </w:tc>
      </w:tr>
      <w:tr>
        <w:tc>
          <w:tcPr>
            <w:tcW w:type="dxa" w:w="2835"/>
          </w:tcPr>
          <w:p>
            <w:r/>
            <w:r>
              <w:rPr>
                <w:sz w:val="18"/>
              </w:rPr>
              <w:t>Revision Date</w:t>
            </w:r>
          </w:p>
        </w:tc>
        <w:tc>
          <w:tcPr>
            <w:tcW w:type="dxa" w:w="7370"/>
          </w:tcPr>
          <w:p>
            <w:r/>
            <w:r>
              <w:rPr>
                <w:sz w:val="18"/>
              </w:rPr>
              <w:t>May 6, 2026</w:t>
            </w:r>
          </w:p>
        </w:tc>
      </w:tr>
      <w:tr>
        <w:tc>
          <w:tcPr>
            <w:tcW w:type="dxa" w:w="2835"/>
            <w:shd w:fill="F0F4F8"/>
          </w:tcPr>
          <w:p>
            <w:r/>
            <w:r>
              <w:rPr>
                <w:sz w:val="18"/>
              </w:rPr>
              <w:t>Prepared By</w:t>
            </w:r>
          </w:p>
        </w:tc>
        <w:tc>
          <w:tcPr>
            <w:tcW w:type="dxa" w:w="7370"/>
            <w:shd w:fill="F0F4F8"/>
          </w:tcPr>
          <w:p>
            <w:r/>
            <w:r>
              <w:rPr>
                <w:sz w:val="18"/>
              </w:rPr>
              <w:t>Quality Assurance Department</w:t>
            </w:r>
          </w:p>
        </w:tc>
      </w:tr>
      <w:tr>
        <w:tc>
          <w:tcPr>
            <w:tcW w:type="dxa" w:w="2835"/>
          </w:tcPr>
          <w:p>
            <w:r/>
            <w:r>
              <w:rPr>
                <w:sz w:val="18"/>
              </w:rPr>
              <w:t>Reviewed By</w:t>
            </w:r>
          </w:p>
        </w:tc>
        <w:tc>
          <w:tcPr>
            <w:tcW w:type="dxa" w:w="7370"/>
          </w:tcPr>
          <w:p>
            <w:r/>
            <w:r>
              <w:rPr>
                <w:sz w:val="18"/>
              </w:rPr>
              <w:t>Sarah Mitchell, Quality Manager</w:t>
            </w:r>
          </w:p>
        </w:tc>
      </w:tr>
      <w:tr>
        <w:tc>
          <w:tcPr>
            <w:tcW w:type="dxa" w:w="2835"/>
            <w:shd w:fill="F0F4F8"/>
          </w:tcPr>
          <w:p>
            <w:r/>
            <w:r>
              <w:rPr>
                <w:sz w:val="18"/>
              </w:rPr>
              <w:t>Approved By</w:t>
            </w:r>
          </w:p>
        </w:tc>
        <w:tc>
          <w:tcPr>
            <w:tcW w:type="dxa" w:w="7370"/>
            <w:shd w:fill="F0F4F8"/>
          </w:tcPr>
          <w:p>
            <w:r/>
            <w:r>
              <w:rPr>
                <w:sz w:val="18"/>
              </w:rPr>
              <w:t>James Carter, Director of Operations</w:t>
            </w:r>
          </w:p>
        </w:tc>
      </w:tr>
    </w:tbl>
    <w:p/>
    <w:p>
      <w:pPr>
        <w:pStyle w:val="Heading1"/>
      </w:pPr>
      <w:r>
        <w:rPr>
          <w:color w:val="1B3A5C"/>
        </w:rP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B3A5C"/>
          </w:tcPr>
          <w:p>
            <w:r/>
            <w:r>
              <w:rPr>
                <w:b/>
                <w:color w:val="FFFFFF"/>
                <w:sz w:val="18"/>
              </w:rPr>
              <w:t>Version</w:t>
            </w:r>
          </w:p>
        </w:tc>
        <w:tc>
          <w:tcPr>
            <w:tcW w:type="dxa" w:w="3969"/>
            <w:shd w:fill="1B3A5C"/>
          </w:tcPr>
          <w:p>
            <w:r/>
            <w:r>
              <w:rPr>
                <w:b/>
                <w:color w:val="FFFFFF"/>
                <w:sz w:val="18"/>
              </w:rPr>
              <w:t>Description</w:t>
            </w:r>
          </w:p>
        </w:tc>
        <w:tc>
          <w:tcPr>
            <w:tcW w:type="dxa" w:w="2268"/>
            <w:shd w:fill="1B3A5C"/>
          </w:tcPr>
          <w:p>
            <w:r/>
            <w:r>
              <w:rPr>
                <w:b/>
                <w:color w:val="FFFFFF"/>
                <w:sz w:val="18"/>
              </w:rPr>
              <w:t>Date</w:t>
            </w:r>
          </w:p>
        </w:tc>
        <w:tc>
          <w:tcPr>
            <w:tcW w:type="dxa" w:w="2268"/>
            <w:shd w:fill="1B3A5C"/>
          </w:tcPr>
          <w:p>
            <w:r/>
            <w:r>
              <w:rPr>
                <w:b/>
                <w:color w:val="FFFFFF"/>
                <w:sz w:val="18"/>
              </w:rPr>
              <w:t>Author</w:t>
            </w:r>
          </w:p>
        </w:tc>
      </w:tr>
      <w:tr>
        <w:tc>
          <w:tcPr>
            <w:tcW w:type="dxa" w:w="1701"/>
          </w:tcPr>
          <w:p>
            <w:r/>
            <w:r>
              <w:rPr>
                <w:sz w:val="18"/>
              </w:rPr>
              <w:t>1.0</w:t>
            </w:r>
          </w:p>
        </w:tc>
        <w:tc>
          <w:tcPr>
            <w:tcW w:type="dxa" w:w="3969"/>
          </w:tcPr>
          <w:p>
            <w:r/>
            <w:r>
              <w:rPr>
                <w:sz w:val="18"/>
              </w:rPr>
              <w:t>Initial Release</w:t>
            </w:r>
          </w:p>
        </w:tc>
        <w:tc>
          <w:tcPr>
            <w:tcW w:type="dxa" w:w="2268"/>
          </w:tcPr>
          <w:p>
            <w:r/>
            <w:r>
              <w:rPr>
                <w:sz w:val="18"/>
              </w:rPr>
              <w:t>Jan 15, 2024</w:t>
            </w:r>
          </w:p>
        </w:tc>
        <w:tc>
          <w:tcPr>
            <w:tcW w:type="dxa" w:w="2268"/>
          </w:tcPr>
          <w:p>
            <w:r/>
            <w:r>
              <w:rPr>
                <w:sz w:val="18"/>
              </w:rPr>
              <w:t>Sarah Mitchell</w:t>
            </w:r>
          </w:p>
        </w:tc>
      </w:tr>
      <w:tr>
        <w:tc>
          <w:tcPr>
            <w:tcW w:type="dxa" w:w="1701"/>
            <w:shd w:fill="F0F4F8"/>
          </w:tcPr>
          <w:p>
            <w:r/>
            <w:r>
              <w:rPr>
                <w:sz w:val="18"/>
              </w:rPr>
              <w:t>2.0</w:t>
            </w:r>
          </w:p>
        </w:tc>
        <w:tc>
          <w:tcPr>
            <w:tcW w:type="dxa" w:w="3969"/>
            <w:shd w:fill="F0F4F8"/>
          </w:tcPr>
          <w:p>
            <w:r/>
            <w:r>
              <w:rPr>
                <w:sz w:val="18"/>
              </w:rPr>
              <w:t>Annual Review &amp; Update</w:t>
            </w:r>
          </w:p>
        </w:tc>
        <w:tc>
          <w:tcPr>
            <w:tcW w:type="dxa" w:w="2268"/>
            <w:shd w:fill="F0F4F8"/>
          </w:tcPr>
          <w:p>
            <w:r/>
            <w:r>
              <w:rPr>
                <w:sz w:val="18"/>
              </w:rPr>
              <w:t>Mar 10, 2025</w:t>
            </w:r>
          </w:p>
        </w:tc>
        <w:tc>
          <w:tcPr>
            <w:tcW w:type="dxa" w:w="2268"/>
            <w:shd w:fill="F0F4F8"/>
          </w:tcPr>
          <w:p>
            <w:r/>
            <w:r>
              <w:rPr>
                <w:sz w:val="18"/>
              </w:rPr>
              <w:t>Sarah Mitchell</w:t>
            </w:r>
          </w:p>
        </w:tc>
      </w:tr>
      <w:tr>
        <w:tc>
          <w:tcPr>
            <w:tcW w:type="dxa" w:w="1701"/>
          </w:tcPr>
          <w:p>
            <w:r/>
            <w:r>
              <w:rPr>
                <w:sz w:val="18"/>
              </w:rPr>
              <w:t>3.0</w:t>
            </w:r>
          </w:p>
        </w:tc>
        <w:tc>
          <w:tcPr>
            <w:tcW w:type="dxa" w:w="3969"/>
          </w:tcPr>
          <w:p>
            <w:r/>
            <w:r>
              <w:rPr>
                <w:sz w:val="18"/>
              </w:rPr>
              <w:t>Comprehensive Revision</w:t>
            </w:r>
          </w:p>
        </w:tc>
        <w:tc>
          <w:tcPr>
            <w:tcW w:type="dxa" w:w="2268"/>
          </w:tcPr>
          <w:p>
            <w:r/>
            <w:r>
              <w:rPr>
                <w:sz w:val="18"/>
              </w:rPr>
              <w:t>May 6, 2026</w:t>
            </w:r>
          </w:p>
        </w:tc>
        <w:tc>
          <w:tcPr>
            <w:tcW w:type="dxa" w:w="2268"/>
          </w:tcPr>
          <w:p>
            <w:r/>
            <w:r>
              <w:rPr>
                <w:sz w:val="18"/>
              </w:rPr>
              <w:t>Sarah Mitchell</w:t>
            </w:r>
          </w:p>
        </w:tc>
      </w:tr>
    </w:tbl>
    <w:p/>
    <w:p>
      <w:r>
        <w:br w:type="page"/>
      </w:r>
    </w:p>
    <w:tbl>
      <w:tblPr>
        <w:tblW w:type="auto" w:w="0"/>
        <w:jc w:val="center"/>
        <w:tblLayout w:type="autofit"/>
        <w:tblLook w:firstColumn="1" w:firstRow="1" w:lastColumn="0" w:lastRow="0" w:noHBand="0" w:noVBand="1" w:val="04A0"/>
      </w:tblPr>
      <w:tblGrid>
        <w:gridCol w:w="4703"/>
        <w:gridCol w:w="4703"/>
      </w:tblGrid>
      <w:tr>
        <w:tc>
          <w:tcPr>
            <w:tcW w:type="dxa" w:w="2835"/>
            <w:shd w:fill="1B3A5C"/>
          </w:tcPr>
          <w:p>
            <w:r/>
            <w:r>
              <w:rPr>
                <w:b/>
                <w:color w:val="FFFFFF"/>
                <w:sz w:val="20"/>
              </w:rPr>
              <w:t>Procedure Title</w:t>
            </w:r>
          </w:p>
        </w:tc>
        <w:tc>
          <w:tcPr>
            <w:tcW w:type="dxa" w:w="7370"/>
            <w:shd w:fill="F0F4F8"/>
          </w:tcPr>
          <w:p>
            <w:r/>
            <w:r>
              <w:rPr>
                <w:sz w:val="20"/>
              </w:rPr>
              <w:t>Risk and Opportunity Management</w:t>
            </w:r>
          </w:p>
        </w:tc>
      </w:tr>
      <w:tr>
        <w:tc>
          <w:tcPr>
            <w:tcW w:type="dxa" w:w="2835"/>
            <w:shd w:fill="1B3A5C"/>
          </w:tcPr>
          <w:p>
            <w:r/>
            <w:r>
              <w:rPr>
                <w:b/>
                <w:color w:val="FFFFFF"/>
                <w:sz w:val="20"/>
              </w:rPr>
              <w:t>Procedure Number</w:t>
            </w:r>
          </w:p>
        </w:tc>
        <w:tc>
          <w:tcPr>
            <w:tcW w:type="dxa" w:w="7370"/>
            <w:shd w:fill="F0F4F8"/>
          </w:tcPr>
          <w:p>
            <w:r/>
            <w:r>
              <w:rPr>
                <w:sz w:val="20"/>
              </w:rPr>
              <w:t>QP-007</w:t>
            </w:r>
          </w:p>
        </w:tc>
      </w:tr>
      <w:tr>
        <w:tc>
          <w:tcPr>
            <w:tcW w:type="dxa" w:w="2835"/>
            <w:shd w:fill="1B3A5C"/>
          </w:tcPr>
          <w:p>
            <w:r/>
            <w:r>
              <w:rPr>
                <w:b/>
                <w:color w:val="FFFFFF"/>
                <w:sz w:val="20"/>
              </w:rPr>
              <w:t>Version</w:t>
            </w:r>
          </w:p>
        </w:tc>
        <w:tc>
          <w:tcPr>
            <w:tcW w:type="dxa" w:w="7370"/>
            <w:shd w:fill="F0F4F8"/>
          </w:tcPr>
          <w:p>
            <w:r/>
            <w:r>
              <w:rPr>
                <w:sz w:val="20"/>
              </w:rPr>
              <w:t>3.0</w:t>
            </w:r>
          </w:p>
        </w:tc>
      </w:tr>
      <w:tr>
        <w:tc>
          <w:tcPr>
            <w:tcW w:type="dxa" w:w="2835"/>
            <w:shd w:fill="1B3A5C"/>
          </w:tcPr>
          <w:p>
            <w:r/>
            <w:r>
              <w:rPr>
                <w:b/>
                <w:color w:val="FFFFFF"/>
                <w:sz w:val="20"/>
              </w:rPr>
              <w:t>Revision Date</w:t>
            </w:r>
          </w:p>
        </w:tc>
        <w:tc>
          <w:tcPr>
            <w:tcW w:type="dxa" w:w="7370"/>
            <w:shd w:fill="F0F4F8"/>
          </w:tcPr>
          <w:p>
            <w:r/>
            <w:r>
              <w:rPr>
                <w:sz w:val="20"/>
              </w:rPr>
              <w:t>May 6, 2026</w:t>
            </w:r>
          </w:p>
        </w:tc>
      </w:tr>
      <w:tr>
        <w:tc>
          <w:tcPr>
            <w:tcW w:type="dxa" w:w="2835"/>
            <w:shd w:fill="1B3A5C"/>
          </w:tcPr>
          <w:p>
            <w:r/>
            <w:r>
              <w:rPr>
                <w:b/>
                <w:color w:val="FFFFFF"/>
                <w:sz w:val="20"/>
              </w:rPr>
              <w:t>Approved By</w:t>
            </w:r>
          </w:p>
        </w:tc>
        <w:tc>
          <w:tcPr>
            <w:tcW w:type="dxa" w:w="7370"/>
            <w:shd w:fill="F0F4F8"/>
          </w:tcPr>
          <w:p>
            <w:r/>
            <w:r>
              <w:rPr>
                <w:sz w:val="20"/>
              </w:rPr>
              <w:t>James Carter, Director of Operations</w:t>
            </w:r>
          </w:p>
        </w:tc>
      </w:tr>
    </w:tbl>
    <w:p/>
    <w:p>
      <w:pPr>
        <w:pStyle w:val="Heading2"/>
      </w:pPr>
      <w:r>
        <w:rPr>
          <w:color w:val="1B3A5C"/>
        </w:rPr>
        <w:t>1. Purpose</w:t>
      </w:r>
    </w:p>
    <w:p>
      <w:pPr>
        <w:spacing w:after="120"/>
      </w:pPr>
      <w:r>
        <w:rPr>
          <w:sz w:val="22"/>
        </w:rPr>
        <w:t>To establish a structured approach for identifying, assessing, treating, and monitoring risks and opportunities that could affect the ability of the QMS to achieve its intended outcomes, enhance desirable effects, and prevent or reduce undesired effects.</w:t>
      </w:r>
    </w:p>
    <w:p>
      <w:pPr>
        <w:pStyle w:val="Heading2"/>
      </w:pPr>
      <w:r>
        <w:rPr>
          <w:color w:val="1B3A5C"/>
        </w:rPr>
        <w:t>2. Scope</w:t>
      </w:r>
    </w:p>
    <w:p>
      <w:pPr>
        <w:spacing w:after="120"/>
      </w:pPr>
      <w:r>
        <w:rPr>
          <w:sz w:val="22"/>
        </w:rPr>
        <w:t>This procedure applies to all risks and opportunities related to QMS processes, products, services, customer satisfaction, and compliance across all departments.</w:t>
      </w:r>
    </w:p>
    <w:p>
      <w:pPr>
        <w:pStyle w:val="Heading2"/>
      </w:pPr>
      <w:r>
        <w:rPr>
          <w:color w:val="1B3A5C"/>
        </w:rPr>
        <w:t>3. Responsibilities</w:t>
      </w:r>
    </w:p>
    <w:tbl>
      <w:tblPr>
        <w:tblStyle w:val="TableGrid"/>
        <w:tblW w:type="auto" w:w="0"/>
        <w:jc w:val="center"/>
        <w:tblLook w:firstColumn="1" w:firstRow="1" w:lastColumn="0" w:lastRow="0" w:noHBand="0" w:noVBand="1" w:val="04A0"/>
      </w:tblPr>
      <w:tblGrid>
        <w:gridCol w:w="4703"/>
        <w:gridCol w:w="4703"/>
      </w:tblGrid>
      <w:tr>
        <w:tc>
          <w:tcPr>
            <w:tcW w:type="dxa" w:w="2835"/>
            <w:shd w:fill="1B3A5C"/>
          </w:tcPr>
          <w:p>
            <w:r/>
            <w:r>
              <w:rPr>
                <w:b/>
                <w:color w:val="FFFFFF"/>
                <w:sz w:val="18"/>
              </w:rPr>
              <w:t>Role</w:t>
            </w:r>
          </w:p>
        </w:tc>
        <w:tc>
          <w:tcPr>
            <w:tcW w:type="dxa" w:w="7370"/>
            <w:shd w:fill="1B3A5C"/>
          </w:tcPr>
          <w:p>
            <w:r/>
            <w:r>
              <w:rPr>
                <w:b/>
                <w:color w:val="FFFFFF"/>
                <w:sz w:val="18"/>
              </w:rPr>
              <w:t>Responsibility</w:t>
            </w:r>
          </w:p>
        </w:tc>
      </w:tr>
      <w:tr>
        <w:tc>
          <w:tcPr>
            <w:tcW w:type="dxa" w:w="2835"/>
          </w:tcPr>
          <w:p>
            <w:r/>
            <w:r>
              <w:rPr>
                <w:sz w:val="18"/>
              </w:rPr>
              <w:t>Top Management</w:t>
            </w:r>
          </w:p>
        </w:tc>
        <w:tc>
          <w:tcPr>
            <w:tcW w:type="dxa" w:w="7370"/>
          </w:tcPr>
          <w:p>
            <w:r/>
            <w:r>
              <w:rPr>
                <w:sz w:val="18"/>
              </w:rPr>
              <w:t>Ensuring risk-based thinking is embedded; approving risk appetite and tolerance levels</w:t>
            </w:r>
          </w:p>
        </w:tc>
      </w:tr>
      <w:tr>
        <w:tc>
          <w:tcPr>
            <w:tcW w:type="dxa" w:w="2835"/>
            <w:shd w:fill="F0F4F8"/>
          </w:tcPr>
          <w:p>
            <w:r/>
            <w:r>
              <w:rPr>
                <w:sz w:val="18"/>
              </w:rPr>
              <w:t>Quality Manager</w:t>
            </w:r>
          </w:p>
        </w:tc>
        <w:tc>
          <w:tcPr>
            <w:tcW w:type="dxa" w:w="7370"/>
            <w:shd w:fill="F0F4F8"/>
          </w:tcPr>
          <w:p>
            <w:r/>
            <w:r>
              <w:rPr>
                <w:sz w:val="18"/>
              </w:rPr>
              <w:t>Maintaining the Risk Register; coordinating assessments; reporting risk status to management</w:t>
            </w:r>
          </w:p>
        </w:tc>
      </w:tr>
      <w:tr>
        <w:tc>
          <w:tcPr>
            <w:tcW w:type="dxa" w:w="2835"/>
          </w:tcPr>
          <w:p>
            <w:r/>
            <w:r>
              <w:rPr>
                <w:sz w:val="18"/>
              </w:rPr>
              <w:t>Department Managers</w:t>
            </w:r>
          </w:p>
        </w:tc>
        <w:tc>
          <w:tcPr>
            <w:tcW w:type="dxa" w:w="7370"/>
          </w:tcPr>
          <w:p>
            <w:r/>
            <w:r>
              <w:rPr>
                <w:sz w:val="18"/>
              </w:rPr>
              <w:t>Identifying and assessing departmental risks; implementing treatment actions</w:t>
            </w:r>
          </w:p>
        </w:tc>
      </w:tr>
      <w:tr>
        <w:tc>
          <w:tcPr>
            <w:tcW w:type="dxa" w:w="2835"/>
            <w:shd w:fill="F0F4F8"/>
          </w:tcPr>
          <w:p>
            <w:r/>
            <w:r>
              <w:rPr>
                <w:sz w:val="18"/>
              </w:rPr>
              <w:t>Risk Champions</w:t>
            </w:r>
          </w:p>
        </w:tc>
        <w:tc>
          <w:tcPr>
            <w:tcW w:type="dxa" w:w="7370"/>
            <w:shd w:fill="F0F4F8"/>
          </w:tcPr>
          <w:p>
            <w:r/>
            <w:r>
              <w:rPr>
                <w:sz w:val="18"/>
              </w:rPr>
              <w:t>Facilitating risk identification workshops; monitoring department-level risk indicators</w:t>
            </w:r>
          </w:p>
        </w:tc>
      </w:tr>
    </w:tbl>
    <w:p/>
    <w:p>
      <w:pPr>
        <w:pStyle w:val="Heading2"/>
      </w:pPr>
      <w:r>
        <w:rPr>
          <w:color w:val="1B3A5C"/>
        </w:rPr>
        <w:t>4. Definitions</w:t>
      </w:r>
    </w:p>
    <w:tbl>
      <w:tblPr>
        <w:tblStyle w:val="TableGrid"/>
        <w:tblW w:type="auto" w:w="0"/>
        <w:jc w:val="center"/>
        <w:tblLook w:firstColumn="1" w:firstRow="1" w:lastColumn="0" w:lastRow="0" w:noHBand="0" w:noVBand="1" w:val="04A0"/>
      </w:tblPr>
      <w:tblGrid>
        <w:gridCol w:w="4703"/>
        <w:gridCol w:w="4703"/>
      </w:tblGrid>
      <w:tr>
        <w:tc>
          <w:tcPr>
            <w:tcW w:type="dxa" w:w="2835"/>
            <w:shd w:fill="1B3A5C"/>
          </w:tcPr>
          <w:p>
            <w:r/>
            <w:r>
              <w:rPr>
                <w:b/>
                <w:color w:val="FFFFFF"/>
                <w:sz w:val="18"/>
              </w:rPr>
              <w:t>Term</w:t>
            </w:r>
          </w:p>
        </w:tc>
        <w:tc>
          <w:tcPr>
            <w:tcW w:type="dxa" w:w="7370"/>
            <w:shd w:fill="1B3A5C"/>
          </w:tcPr>
          <w:p>
            <w:r/>
            <w:r>
              <w:rPr>
                <w:b/>
                <w:color w:val="FFFFFF"/>
                <w:sz w:val="18"/>
              </w:rPr>
              <w:t>Definition</w:t>
            </w:r>
          </w:p>
        </w:tc>
      </w:tr>
      <w:tr>
        <w:tc>
          <w:tcPr>
            <w:tcW w:type="dxa" w:w="2835"/>
          </w:tcPr>
          <w:p>
            <w:r/>
            <w:r>
              <w:rPr>
                <w:sz w:val="18"/>
              </w:rPr>
              <w:t>Risk</w:t>
            </w:r>
          </w:p>
        </w:tc>
        <w:tc>
          <w:tcPr>
            <w:tcW w:type="dxa" w:w="7370"/>
          </w:tcPr>
          <w:p>
            <w:r/>
            <w:r>
              <w:rPr>
                <w:sz w:val="18"/>
              </w:rPr>
              <w:t>The effect of uncertainty on objectives, expressed as likelihood multiplied by impact</w:t>
            </w:r>
          </w:p>
        </w:tc>
      </w:tr>
      <w:tr>
        <w:tc>
          <w:tcPr>
            <w:tcW w:type="dxa" w:w="2835"/>
            <w:shd w:fill="F0F4F8"/>
          </w:tcPr>
          <w:p>
            <w:r/>
            <w:r>
              <w:rPr>
                <w:sz w:val="18"/>
              </w:rPr>
              <w:t>Opportunity</w:t>
            </w:r>
          </w:p>
        </w:tc>
        <w:tc>
          <w:tcPr>
            <w:tcW w:type="dxa" w:w="7370"/>
            <w:shd w:fill="F0F4F8"/>
          </w:tcPr>
          <w:p>
            <w:r/>
            <w:r>
              <w:rPr>
                <w:sz w:val="18"/>
              </w:rPr>
              <w:t>A favorable circumstance that, if acted upon, could improve performance or outcomes</w:t>
            </w:r>
          </w:p>
        </w:tc>
      </w:tr>
      <w:tr>
        <w:tc>
          <w:tcPr>
            <w:tcW w:type="dxa" w:w="2835"/>
          </w:tcPr>
          <w:p>
            <w:r/>
            <w:r>
              <w:rPr>
                <w:sz w:val="18"/>
              </w:rPr>
              <w:t>Risk Register</w:t>
            </w:r>
          </w:p>
        </w:tc>
        <w:tc>
          <w:tcPr>
            <w:tcW w:type="dxa" w:w="7370"/>
          </w:tcPr>
          <w:p>
            <w:r/>
            <w:r>
              <w:rPr>
                <w:sz w:val="18"/>
              </w:rPr>
              <w:t>A comprehensive log of identified risks with assessments, treatments, and monitoring status</w:t>
            </w:r>
          </w:p>
        </w:tc>
      </w:tr>
      <w:tr>
        <w:tc>
          <w:tcPr>
            <w:tcW w:type="dxa" w:w="2835"/>
            <w:shd w:fill="F0F4F8"/>
          </w:tcPr>
          <w:p>
            <w:r/>
            <w:r>
              <w:rPr>
                <w:sz w:val="18"/>
              </w:rPr>
              <w:t>Risk Appetite</w:t>
            </w:r>
          </w:p>
        </w:tc>
        <w:tc>
          <w:tcPr>
            <w:tcW w:type="dxa" w:w="7370"/>
            <w:shd w:fill="F0F4F8"/>
          </w:tcPr>
          <w:p>
            <w:r/>
            <w:r>
              <w:rPr>
                <w:sz w:val="18"/>
              </w:rPr>
              <w:t>The level and type of risk the organization is willing to accept</w:t>
            </w:r>
          </w:p>
        </w:tc>
      </w:tr>
      <w:tr>
        <w:tc>
          <w:tcPr>
            <w:tcW w:type="dxa" w:w="2835"/>
          </w:tcPr>
          <w:p>
            <w:r/>
            <w:r>
              <w:rPr>
                <w:sz w:val="18"/>
              </w:rPr>
              <w:t>Residual Risk</w:t>
            </w:r>
          </w:p>
        </w:tc>
        <w:tc>
          <w:tcPr>
            <w:tcW w:type="dxa" w:w="7370"/>
          </w:tcPr>
          <w:p>
            <w:r/>
            <w:r>
              <w:rPr>
                <w:sz w:val="18"/>
              </w:rPr>
              <w:t>The remaining risk after treatment measures have been applied</w:t>
            </w:r>
          </w:p>
        </w:tc>
      </w:tr>
    </w:tbl>
    <w:p/>
    <w:p>
      <w:pPr>
        <w:pStyle w:val="Heading2"/>
      </w:pPr>
      <w:r>
        <w:rPr>
          <w:color w:val="1B3A5C"/>
        </w:rPr>
        <w:t>5. Process Steps</w:t>
      </w:r>
    </w:p>
    <w:p>
      <w:pPr>
        <w:spacing w:after="80"/>
      </w:pPr>
      <w:r>
        <w:rPr>
          <w:b/>
          <w:color w:val="1B3A5C"/>
          <w:sz w:val="22"/>
        </w:rPr>
        <w:t xml:space="preserve">1. </w:t>
      </w:r>
      <w:r>
        <w:rPr>
          <w:sz w:val="22"/>
        </w:rPr>
        <w:t>Conduct comprehensive risk identification for each QMS process at least annually using brainstorming, SWOT analysis, process failure mode analysis, and lessons learned review.</w:t>
      </w:r>
    </w:p>
    <w:p>
      <w:pPr>
        <w:spacing w:after="80"/>
      </w:pPr>
      <w:r>
        <w:rPr>
          <w:b/>
          <w:color w:val="1B3A5C"/>
          <w:sz w:val="22"/>
        </w:rPr>
        <w:t xml:space="preserve">2. </w:t>
      </w:r>
      <w:r>
        <w:rPr>
          <w:sz w:val="22"/>
        </w:rPr>
        <w:t>Document each risk in the Risk Register (QF-007-01): risk ID, description, category (Strategic, Operational, Compliance, Financial, Reputational), owner, and associated QMS process.</w:t>
      </w:r>
    </w:p>
    <w:p>
      <w:pPr>
        <w:spacing w:after="80"/>
      </w:pPr>
      <w:r>
        <w:rPr>
          <w:b/>
          <w:color w:val="1B3A5C"/>
          <w:sz w:val="22"/>
        </w:rPr>
        <w:t xml:space="preserve">3. </w:t>
      </w:r>
      <w:r>
        <w:rPr>
          <w:sz w:val="22"/>
        </w:rPr>
        <w:t>Assess each risk using the 5x5 Risk Assessment Matrix. Rate Likelihood (1=Rare to 5=Almost Certain) and Impact (1=Insignificant to 5=Catastrophic). Calculate Risk Score = Likelihood x Impact.</w:t>
      </w:r>
    </w:p>
    <w:p>
      <w:pPr>
        <w:spacing w:after="80"/>
      </w:pPr>
      <w:r>
        <w:rPr>
          <w:b/>
          <w:color w:val="1B3A5C"/>
          <w:sz w:val="22"/>
        </w:rPr>
        <w:t xml:space="preserve">4. </w:t>
      </w:r>
      <w:r>
        <w:rPr>
          <w:sz w:val="22"/>
        </w:rPr>
        <w:t>Classify risks by priority: Low (1-4), Medium (5-9), High (10-15), Critical (16-25). Critical and High risks require formal treatment plans within 10 business days.</w:t>
      </w:r>
    </w:p>
    <w:p>
      <w:pPr>
        <w:spacing w:after="80"/>
      </w:pPr>
      <w:r>
        <w:rPr>
          <w:b/>
          <w:color w:val="1B3A5C"/>
          <w:sz w:val="22"/>
        </w:rPr>
        <w:t xml:space="preserve">5. </w:t>
      </w:r>
      <w:r>
        <w:rPr>
          <w:sz w:val="22"/>
        </w:rPr>
        <w:t>Select treatment options: (a) Avoid - eliminate the activity creating the risk; (b) Mitigate - implement controls to reduce likelihood or impact; (c) Transfer - share via insurance, outsourcing, or contracts; (d) Accept - acknowledge and monitor.</w:t>
      </w:r>
    </w:p>
    <w:p>
      <w:pPr>
        <w:spacing w:after="80"/>
      </w:pPr>
      <w:r>
        <w:rPr>
          <w:b/>
          <w:color w:val="1B3A5C"/>
          <w:sz w:val="22"/>
        </w:rPr>
        <w:t xml:space="preserve">6. </w:t>
      </w:r>
      <w:r>
        <w:rPr>
          <w:sz w:val="22"/>
        </w:rPr>
        <w:t>Document treatment plans on Risk Treatment Plan Form (QF-007-02): actions, responsible persons, resources, timeline, expected residual risk level, and key risk indicators for monitoring.</w:t>
      </w:r>
    </w:p>
    <w:p>
      <w:pPr>
        <w:spacing w:after="80"/>
      </w:pPr>
      <w:r>
        <w:rPr>
          <w:b/>
          <w:color w:val="1B3A5C"/>
          <w:sz w:val="22"/>
        </w:rPr>
        <w:t xml:space="preserve">7. </w:t>
      </w:r>
      <w:r>
        <w:rPr>
          <w:sz w:val="22"/>
        </w:rPr>
        <w:t>Identify opportunities during the risk assessment process. Document in the Opportunity Register. Evaluate potential benefits and feasibility. Develop action plans for priority opportunities.</w:t>
      </w:r>
    </w:p>
    <w:p>
      <w:pPr>
        <w:spacing w:after="80"/>
      </w:pPr>
      <w:r>
        <w:rPr>
          <w:b/>
          <w:color w:val="1B3A5C"/>
          <w:sz w:val="22"/>
        </w:rPr>
        <w:t xml:space="preserve">8. </w:t>
      </w:r>
      <w:r>
        <w:rPr>
          <w:sz w:val="22"/>
        </w:rPr>
        <w:t>Implement treatment actions. Risk owners report progress monthly to the Quality Manager. Reassess risk scores after implementation to determine residual risk levels.</w:t>
      </w:r>
    </w:p>
    <w:p>
      <w:pPr>
        <w:spacing w:after="80"/>
      </w:pPr>
      <w:r>
        <w:rPr>
          <w:b/>
          <w:color w:val="1B3A5C"/>
          <w:sz w:val="22"/>
        </w:rPr>
        <w:t xml:space="preserve">9. </w:t>
      </w:r>
      <w:r>
        <w:rPr>
          <w:sz w:val="22"/>
        </w:rPr>
        <w:t>Monitor key risk indicators on an ongoing basis. Review the full Risk Register quarterly. Update risk assessments and treatment status. Escalate emerging or deteriorating risks immediately.</w:t>
      </w:r>
    </w:p>
    <w:p>
      <w:pPr>
        <w:spacing w:after="80"/>
      </w:pPr>
      <w:r>
        <w:rPr>
          <w:b/>
          <w:color w:val="1B3A5C"/>
          <w:sz w:val="22"/>
        </w:rPr>
        <w:t xml:space="preserve">10. </w:t>
      </w:r>
      <w:r>
        <w:rPr>
          <w:sz w:val="22"/>
        </w:rPr>
        <w:t>Report risk and opportunity status to Top Management during Management Review (QP-006).</w:t>
      </w:r>
    </w:p>
    <w:p/>
    <w:p>
      <w:pPr>
        <w:pStyle w:val="Heading2"/>
      </w:pPr>
      <w:r>
        <w:rPr>
          <w:color w:val="1B3A5C"/>
        </w:rPr>
        <w:t>6. Required Records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fill="1B3A5C"/>
          </w:tcPr>
          <w:p>
            <w:r/>
            <w:r>
              <w:rPr>
                <w:b/>
                <w:color w:val="FFFFFF"/>
                <w:sz w:val="18"/>
              </w:rPr>
              <w:t>Record Name</w:t>
            </w:r>
          </w:p>
        </w:tc>
        <w:tc>
          <w:tcPr>
            <w:tcW w:type="dxa" w:w="1701"/>
            <w:shd w:fill="1B3A5C"/>
          </w:tcPr>
          <w:p>
            <w:r/>
            <w:r>
              <w:rPr>
                <w:b/>
                <w:color w:val="FFFFFF"/>
                <w:sz w:val="18"/>
              </w:rPr>
              <w:t>Record No.</w:t>
            </w:r>
          </w:p>
        </w:tc>
        <w:tc>
          <w:tcPr>
            <w:tcW w:type="dxa" w:w="2268"/>
            <w:shd w:fill="1B3A5C"/>
          </w:tcPr>
          <w:p>
            <w:r/>
            <w:r>
              <w:rPr>
                <w:b/>
                <w:color w:val="FFFFFF"/>
                <w:sz w:val="18"/>
              </w:rPr>
              <w:t>Retention</w:t>
            </w:r>
          </w:p>
        </w:tc>
        <w:tc>
          <w:tcPr>
            <w:tcW w:type="dxa" w:w="3118"/>
            <w:shd w:fill="1B3A5C"/>
          </w:tcPr>
          <w:p>
            <w:r/>
            <w:r>
              <w:rPr>
                <w:b/>
                <w:color w:val="FFFFFF"/>
                <w:sz w:val="18"/>
              </w:rPr>
              <w:t>Storage</w:t>
            </w:r>
          </w:p>
        </w:tc>
      </w:tr>
      <w:tr>
        <w:tc>
          <w:tcPr>
            <w:tcW w:type="dxa" w:w="3118"/>
          </w:tcPr>
          <w:p>
            <w:r/>
            <w:r>
              <w:rPr>
                <w:sz w:val="18"/>
              </w:rPr>
              <w:t>Risk Register</w:t>
            </w:r>
          </w:p>
        </w:tc>
        <w:tc>
          <w:tcPr>
            <w:tcW w:type="dxa" w:w="1701"/>
          </w:tcPr>
          <w:p>
            <w:r/>
            <w:r>
              <w:rPr>
                <w:sz w:val="18"/>
              </w:rPr>
              <w:t>QF-007-01</w:t>
            </w:r>
          </w:p>
        </w:tc>
        <w:tc>
          <w:tcPr>
            <w:tcW w:type="dxa" w:w="2268"/>
          </w:tcPr>
          <w:p>
            <w:r/>
            <w:r>
              <w:rPr>
                <w:sz w:val="18"/>
              </w:rPr>
              <w:t>Permanent (updated)</w:t>
            </w:r>
          </w:p>
        </w:tc>
        <w:tc>
          <w:tcPr>
            <w:tcW w:type="dxa" w:w="3118"/>
          </w:tcPr>
          <w:p>
            <w:r/>
            <w:r>
              <w:rPr>
                <w:sz w:val="18"/>
              </w:rPr>
              <w:t>Electronic QMS Portal</w:t>
            </w:r>
          </w:p>
        </w:tc>
      </w:tr>
      <w:tr>
        <w:tc>
          <w:tcPr>
            <w:tcW w:type="dxa" w:w="3118"/>
            <w:shd w:fill="F0F4F8"/>
          </w:tcPr>
          <w:p>
            <w:r/>
            <w:r>
              <w:rPr>
                <w:sz w:val="18"/>
              </w:rPr>
              <w:t>Risk Treatment Plan Form</w:t>
            </w:r>
          </w:p>
        </w:tc>
        <w:tc>
          <w:tcPr>
            <w:tcW w:type="dxa" w:w="1701"/>
            <w:shd w:fill="F0F4F8"/>
          </w:tcPr>
          <w:p>
            <w:r/>
            <w:r>
              <w:rPr>
                <w:sz w:val="18"/>
              </w:rPr>
              <w:t>QF-007-02</w:t>
            </w:r>
          </w:p>
        </w:tc>
        <w:tc>
          <w:tcPr>
            <w:tcW w:type="dxa" w:w="2268"/>
            <w:shd w:fill="F0F4F8"/>
          </w:tcPr>
          <w:p>
            <w:r/>
            <w:r>
              <w:rPr>
                <w:sz w:val="18"/>
              </w:rPr>
              <w:t>5 years</w:t>
            </w:r>
          </w:p>
        </w:tc>
        <w:tc>
          <w:tcPr>
            <w:tcW w:type="dxa" w:w="3118"/>
            <w:shd w:fill="F0F4F8"/>
          </w:tcPr>
          <w:p>
            <w:r/>
            <w:r>
              <w:rPr>
                <w:sz w:val="18"/>
              </w:rPr>
              <w:t>Electronic QMS Portal</w:t>
            </w:r>
          </w:p>
        </w:tc>
      </w:tr>
      <w:tr>
        <w:tc>
          <w:tcPr>
            <w:tcW w:type="dxa" w:w="3118"/>
          </w:tcPr>
          <w:p>
            <w:r/>
            <w:r>
              <w:rPr>
                <w:sz w:val="18"/>
              </w:rPr>
              <w:t>Risk Review Meeting Minutes</w:t>
            </w:r>
          </w:p>
        </w:tc>
        <w:tc>
          <w:tcPr>
            <w:tcW w:type="dxa" w:w="1701"/>
          </w:tcPr>
          <w:p>
            <w:r/>
            <w:r>
              <w:rPr>
                <w:sz w:val="18"/>
              </w:rPr>
              <w:t>QF-007-03</w:t>
            </w:r>
          </w:p>
        </w:tc>
        <w:tc>
          <w:tcPr>
            <w:tcW w:type="dxa" w:w="2268"/>
          </w:tcPr>
          <w:p>
            <w:r/>
            <w:r>
              <w:rPr>
                <w:sz w:val="18"/>
              </w:rPr>
              <w:t>5 years</w:t>
            </w:r>
          </w:p>
        </w:tc>
        <w:tc>
          <w:tcPr>
            <w:tcW w:type="dxa" w:w="3118"/>
          </w:tcPr>
          <w:p>
            <w:r/>
            <w:r>
              <w:rPr>
                <w:sz w:val="18"/>
              </w:rPr>
              <w:t>Electronic QMS Portal</w:t>
            </w:r>
          </w:p>
        </w:tc>
      </w:tr>
    </w:tbl>
    <w:p/>
    <w:p>
      <w:pPr>
        <w:pStyle w:val="Heading2"/>
      </w:pPr>
      <w:r>
        <w:rPr>
          <w:color w:val="1B3A5C"/>
        </w:rPr>
        <w:t>7. Key Performance Indicators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1B3A5C"/>
          </w:tcPr>
          <w:p>
            <w:r/>
            <w:r>
              <w:rPr>
                <w:b/>
                <w:color w:val="FFFFFF"/>
                <w:sz w:val="18"/>
              </w:rPr>
              <w:t>KPI Name</w:t>
            </w:r>
          </w:p>
        </w:tc>
        <w:tc>
          <w:tcPr>
            <w:tcW w:type="dxa" w:w="2835"/>
            <w:shd w:fill="1B3A5C"/>
          </w:tcPr>
          <w:p>
            <w:r/>
            <w:r>
              <w:rPr>
                <w:b/>
                <w:color w:val="FFFFFF"/>
                <w:sz w:val="18"/>
              </w:rPr>
              <w:t>Target</w:t>
            </w:r>
          </w:p>
        </w:tc>
        <w:tc>
          <w:tcPr>
            <w:tcW w:type="dxa" w:w="2268"/>
            <w:shd w:fill="1B3A5C"/>
          </w:tcPr>
          <w:p>
            <w:r/>
            <w:r>
              <w:rPr>
                <w:b/>
                <w:color w:val="FFFFFF"/>
                <w:sz w:val="18"/>
              </w:rPr>
              <w:t>Frequency</w:t>
            </w:r>
          </w:p>
        </w:tc>
        <w:tc>
          <w:tcPr>
            <w:tcW w:type="dxa" w:w="2268"/>
            <w:shd w:fill="1B3A5C"/>
          </w:tcPr>
          <w:p>
            <w:r/>
            <w:r>
              <w:rPr>
                <w:b/>
                <w:color w:val="FFFFFF"/>
                <w:sz w:val="18"/>
              </w:rPr>
              <w:t>Responsible</w:t>
            </w:r>
          </w:p>
        </w:tc>
      </w:tr>
      <w:tr>
        <w:tc>
          <w:tcPr>
            <w:tcW w:type="dxa" w:w="2835"/>
          </w:tcPr>
          <w:p>
            <w:r/>
            <w:r>
              <w:rPr>
                <w:sz w:val="18"/>
              </w:rPr>
              <w:t>Risk Assessment Completion</w:t>
            </w:r>
          </w:p>
        </w:tc>
        <w:tc>
          <w:tcPr>
            <w:tcW w:type="dxa" w:w="2835"/>
          </w:tcPr>
          <w:p>
            <w:r/>
            <w:r>
              <w:rPr>
                <w:sz w:val="18"/>
              </w:rPr>
              <w:t>100% processes assessed annually</w:t>
            </w:r>
          </w:p>
        </w:tc>
        <w:tc>
          <w:tcPr>
            <w:tcW w:type="dxa" w:w="2268"/>
          </w:tcPr>
          <w:p>
            <w:r/>
            <w:r>
              <w:rPr>
                <w:sz w:val="18"/>
              </w:rPr>
              <w:t>Annually</w:t>
            </w:r>
          </w:p>
        </w:tc>
        <w:tc>
          <w:tcPr>
            <w:tcW w:type="dxa" w:w="2268"/>
          </w:tcPr>
          <w:p>
            <w:r/>
            <w:r>
              <w:rPr>
                <w:sz w:val="18"/>
              </w:rPr>
              <w:t>Quality Manager</w:t>
            </w:r>
          </w:p>
        </w:tc>
      </w:tr>
      <w:tr>
        <w:tc>
          <w:tcPr>
            <w:tcW w:type="dxa" w:w="2835"/>
            <w:shd w:fill="F0F4F8"/>
          </w:tcPr>
          <w:p>
            <w:r/>
            <w:r>
              <w:rPr>
                <w:sz w:val="18"/>
              </w:rPr>
              <w:t>Treatment Plan Implementation</w:t>
            </w:r>
          </w:p>
        </w:tc>
        <w:tc>
          <w:tcPr>
            <w:tcW w:type="dxa" w:w="2835"/>
            <w:shd w:fill="F0F4F8"/>
          </w:tcPr>
          <w:p>
            <w:r/>
            <w:r>
              <w:rPr>
                <w:sz w:val="18"/>
              </w:rPr>
              <w:t>&gt;90% plans implemented on time</w:t>
            </w:r>
          </w:p>
        </w:tc>
        <w:tc>
          <w:tcPr>
            <w:tcW w:type="dxa" w:w="2268"/>
            <w:shd w:fill="F0F4F8"/>
          </w:tcPr>
          <w:p>
            <w:r/>
            <w:r>
              <w:rPr>
                <w:sz w:val="18"/>
              </w:rPr>
              <w:t>Quarterly</w:t>
            </w:r>
          </w:p>
        </w:tc>
        <w:tc>
          <w:tcPr>
            <w:tcW w:type="dxa" w:w="2268"/>
            <w:shd w:fill="F0F4F8"/>
          </w:tcPr>
          <w:p>
            <w:r/>
            <w:r>
              <w:rPr>
                <w:sz w:val="18"/>
              </w:rPr>
              <w:t>Department Managers</w:t>
            </w:r>
          </w:p>
        </w:tc>
      </w:tr>
      <w:tr>
        <w:tc>
          <w:tcPr>
            <w:tcW w:type="dxa" w:w="2835"/>
          </w:tcPr>
          <w:p>
            <w:r/>
            <w:r>
              <w:rPr>
                <w:sz w:val="18"/>
              </w:rPr>
              <w:t>Critical Risk Reduction</w:t>
            </w:r>
          </w:p>
        </w:tc>
        <w:tc>
          <w:tcPr>
            <w:tcW w:type="dxa" w:w="2835"/>
          </w:tcPr>
          <w:p>
            <w:r/>
            <w:r>
              <w:rPr>
                <w:sz w:val="18"/>
              </w:rPr>
              <w:t>Reduce critical risks 25% YoY</w:t>
            </w:r>
          </w:p>
        </w:tc>
        <w:tc>
          <w:tcPr>
            <w:tcW w:type="dxa" w:w="2268"/>
          </w:tcPr>
          <w:p>
            <w:r/>
            <w:r>
              <w:rPr>
                <w:sz w:val="18"/>
              </w:rPr>
              <w:t>Annually</w:t>
            </w:r>
          </w:p>
        </w:tc>
        <w:tc>
          <w:tcPr>
            <w:tcW w:type="dxa" w:w="2268"/>
          </w:tcPr>
          <w:p>
            <w:r/>
            <w:r>
              <w:rPr>
                <w:sz w:val="18"/>
              </w:rPr>
              <w:t>Quality Manager</w:t>
            </w:r>
          </w:p>
        </w:tc>
      </w:tr>
    </w:tbl>
    <w:p/>
    <w:p>
      <w:pPr>
        <w:pStyle w:val="Heading2"/>
      </w:pPr>
      <w:r>
        <w:rPr>
          <w:color w:val="1B3A5C"/>
        </w:rPr>
        <w:t>8. ISO 9001:2015 References</w:t>
      </w:r>
    </w:p>
    <w:p>
      <w:pPr>
        <w:pStyle w:val="ListBullet"/>
      </w:pPr>
      <w:r>
        <w:rPr>
          <w:sz w:val="22"/>
        </w:rPr>
        <w:t>Clause 6.1.1 Actions to address risks and opportunities - General</w:t>
      </w:r>
    </w:p>
    <w:p>
      <w:pPr>
        <w:pStyle w:val="ListBullet"/>
      </w:pPr>
      <w:r>
        <w:rPr>
          <w:sz w:val="22"/>
        </w:rPr>
        <w:t>Clause 6.1.2 Planning of actions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