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40"/>
        </w:rPr>
        <w:t>PINNACLE INDUSTRIES LTD.</w:t>
      </w:r>
    </w:p>
    <w:p>
      <w:pPr>
        <w:jc w:val="center"/>
      </w:pPr>
      <w:r>
        <w:rPr>
          <w:color w:val="2E5E8E"/>
          <w:sz w:val="28"/>
        </w:rPr>
        <w:t>Quality Management System Procedure</w:t>
      </w:r>
    </w:p>
    <w:p>
      <w:pPr>
        <w:jc w:val="center"/>
      </w:pPr>
      <w:r>
        <w:rPr>
          <w:b/>
          <w:color w:val="1B3A5C"/>
          <w:sz w:val="52"/>
        </w:rPr>
        <w:t>Competence, Training and Awareness</w:t>
      </w:r>
    </w:p>
    <w:p>
      <w:pPr>
        <w:jc w:val="center"/>
      </w:pPr>
      <w:r>
        <w:rPr>
          <w:color w:val="2E5E8E"/>
          <w:sz w:val="32"/>
        </w:rPr>
        <w:t>QP-008</w:t>
      </w:r>
    </w:p>
    <w:p>
      <w:pPr>
        <w:jc w:val="center"/>
      </w:pPr>
      <w:r>
        <w:rPr>
          <w:color w:val="646464"/>
          <w:sz w:val="22"/>
        </w:rPr>
        <w:t>Version: 3.0</w:t>
        <w:br/>
      </w:r>
      <w:r>
        <w:rPr>
          <w:color w:val="646464"/>
          <w:sz w:val="22"/>
        </w:rPr>
        <w:t>Effective Date: May 6, 2026</w:t>
        <w:br/>
      </w:r>
      <w:r>
        <w:rPr>
          <w:color w:val="646464"/>
          <w:sz w:val="22"/>
        </w:rPr>
        <w:t>Classification: Controlled Document</w:t>
        <w:br/>
      </w:r>
    </w:p>
    <w:p>
      <w:pPr>
        <w:jc w:val="center"/>
      </w:pPr>
      <w:r>
        <w:rPr>
          <w:i/>
          <w:color w:val="646464"/>
          <w:sz w:val="18"/>
        </w:rPr>
        <w:t>This document is the property of Pinnacle Industries Ltd.</w:t>
        <w:br/>
        <w:t>Unauthorized reproduction or distribution is prohibited.</w:t>
      </w:r>
    </w:p>
    <w:p>
      <w:r>
        <w:br w:type="page"/>
      </w:r>
    </w:p>
    <w:p>
      <w:pPr>
        <w:pStyle w:val="Heading1"/>
      </w:pPr>
      <w:r>
        <w:rPr>
          <w:color w:val="1B3A5C"/>
        </w:rPr>
        <w:t>Document Control Information</w:t>
      </w:r>
    </w:p>
    <w:tbl>
      <w:tblPr>
        <w:tblStyle w:val="TableGrid"/>
        <w:tblW w:type="auto" w:w="0"/>
        <w:jc w:val="center"/>
        <w:tblLook w:firstColumn="1" w:firstRow="1" w:lastColumn="0" w:lastRow="0" w:noHBand="0" w:noVBand="1" w:val="04A0"/>
      </w:tblPr>
      <w:tblGrid>
        <w:gridCol w:w="4703"/>
        <w:gridCol w:w="4703"/>
      </w:tblGrid>
      <w:tr>
        <w:tc>
          <w:tcPr>
            <w:tcW w:type="dxa" w:w="2835"/>
            <w:shd w:fill="1B3A5C"/>
          </w:tcPr>
          <w:p>
            <w:r/>
            <w:r>
              <w:rPr>
                <w:b/>
                <w:color w:val="FFFFFF"/>
                <w:sz w:val="18"/>
              </w:rPr>
              <w:t>Field</w:t>
            </w:r>
          </w:p>
        </w:tc>
        <w:tc>
          <w:tcPr>
            <w:tcW w:type="dxa" w:w="7370"/>
            <w:shd w:fill="1B3A5C"/>
          </w:tcPr>
          <w:p>
            <w:r/>
            <w:r>
              <w:rPr>
                <w:b/>
                <w:color w:val="FFFFFF"/>
                <w:sz w:val="18"/>
              </w:rPr>
              <w:t>Details</w:t>
            </w:r>
          </w:p>
        </w:tc>
      </w:tr>
      <w:tr>
        <w:tc>
          <w:tcPr>
            <w:tcW w:type="dxa" w:w="2835"/>
          </w:tcPr>
          <w:p>
            <w:r/>
            <w:r>
              <w:rPr>
                <w:sz w:val="18"/>
              </w:rPr>
              <w:t>Document Number</w:t>
            </w:r>
          </w:p>
        </w:tc>
        <w:tc>
          <w:tcPr>
            <w:tcW w:type="dxa" w:w="7370"/>
          </w:tcPr>
          <w:p>
            <w:r/>
            <w:r>
              <w:rPr>
                <w:sz w:val="18"/>
              </w:rPr>
              <w:t>QMS-PM-001 / QP-008</w:t>
            </w:r>
          </w:p>
        </w:tc>
      </w:tr>
      <w:tr>
        <w:tc>
          <w:tcPr>
            <w:tcW w:type="dxa" w:w="2835"/>
            <w:shd w:fill="F0F4F8"/>
          </w:tcPr>
          <w:p>
            <w:r/>
            <w:r>
              <w:rPr>
                <w:sz w:val="18"/>
              </w:rPr>
              <w:t>Version</w:t>
            </w:r>
          </w:p>
        </w:tc>
        <w:tc>
          <w:tcPr>
            <w:tcW w:type="dxa" w:w="7370"/>
            <w:shd w:fill="F0F4F8"/>
          </w:tcPr>
          <w:p>
            <w:r/>
            <w:r>
              <w:rPr>
                <w:sz w:val="18"/>
              </w:rPr>
              <w:t>3.0</w:t>
            </w:r>
          </w:p>
        </w:tc>
      </w:tr>
      <w:tr>
        <w:tc>
          <w:tcPr>
            <w:tcW w:type="dxa" w:w="2835"/>
          </w:tcPr>
          <w:p>
            <w:r/>
            <w:r>
              <w:rPr>
                <w:sz w:val="18"/>
              </w:rPr>
              <w:t>Revision Date</w:t>
            </w:r>
          </w:p>
        </w:tc>
        <w:tc>
          <w:tcPr>
            <w:tcW w:type="dxa" w:w="7370"/>
          </w:tcPr>
          <w:p>
            <w:r/>
            <w:r>
              <w:rPr>
                <w:sz w:val="18"/>
              </w:rPr>
              <w:t>May 6, 2026</w:t>
            </w:r>
          </w:p>
        </w:tc>
      </w:tr>
      <w:tr>
        <w:tc>
          <w:tcPr>
            <w:tcW w:type="dxa" w:w="2835"/>
            <w:shd w:fill="F0F4F8"/>
          </w:tcPr>
          <w:p>
            <w:r/>
            <w:r>
              <w:rPr>
                <w:sz w:val="18"/>
              </w:rPr>
              <w:t>Prepared By</w:t>
            </w:r>
          </w:p>
        </w:tc>
        <w:tc>
          <w:tcPr>
            <w:tcW w:type="dxa" w:w="7370"/>
            <w:shd w:fill="F0F4F8"/>
          </w:tcPr>
          <w:p>
            <w:r/>
            <w:r>
              <w:rPr>
                <w:sz w:val="18"/>
              </w:rPr>
              <w:t>Quality Assurance Department</w:t>
            </w:r>
          </w:p>
        </w:tc>
      </w:tr>
      <w:tr>
        <w:tc>
          <w:tcPr>
            <w:tcW w:type="dxa" w:w="2835"/>
          </w:tcPr>
          <w:p>
            <w:r/>
            <w:r>
              <w:rPr>
                <w:sz w:val="18"/>
              </w:rPr>
              <w:t>Reviewed By</w:t>
            </w:r>
          </w:p>
        </w:tc>
        <w:tc>
          <w:tcPr>
            <w:tcW w:type="dxa" w:w="7370"/>
          </w:tcPr>
          <w:p>
            <w:r/>
            <w:r>
              <w:rPr>
                <w:sz w:val="18"/>
              </w:rPr>
              <w:t>Sarah Mitchell, Quality Manager</w:t>
            </w:r>
          </w:p>
        </w:tc>
      </w:tr>
      <w:tr>
        <w:tc>
          <w:tcPr>
            <w:tcW w:type="dxa" w:w="2835"/>
            <w:shd w:fill="F0F4F8"/>
          </w:tcPr>
          <w:p>
            <w:r/>
            <w:r>
              <w:rPr>
                <w:sz w:val="18"/>
              </w:rPr>
              <w:t>Approved By</w:t>
            </w:r>
          </w:p>
        </w:tc>
        <w:tc>
          <w:tcPr>
            <w:tcW w:type="dxa" w:w="7370"/>
            <w:shd w:fill="F0F4F8"/>
          </w:tcPr>
          <w:p>
            <w:r/>
            <w:r>
              <w:rPr>
                <w:sz w:val="18"/>
              </w:rPr>
              <w:t>James Carter, Director of Operations</w:t>
            </w:r>
          </w:p>
        </w:tc>
      </w:tr>
    </w:tbl>
    <w:p/>
    <w:p>
      <w:pPr>
        <w:pStyle w:val="Heading1"/>
      </w:pPr>
      <w:r>
        <w:rPr>
          <w:color w:val="1B3A5C"/>
        </w:rP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B3A5C"/>
          </w:tcPr>
          <w:p>
            <w:r/>
            <w:r>
              <w:rPr>
                <w:b/>
                <w:color w:val="FFFFFF"/>
                <w:sz w:val="18"/>
              </w:rPr>
              <w:t>Version</w:t>
            </w:r>
          </w:p>
        </w:tc>
        <w:tc>
          <w:tcPr>
            <w:tcW w:type="dxa" w:w="3969"/>
            <w:shd w:fill="1B3A5C"/>
          </w:tcPr>
          <w:p>
            <w:r/>
            <w:r>
              <w:rPr>
                <w:b/>
                <w:color w:val="FFFFFF"/>
                <w:sz w:val="18"/>
              </w:rPr>
              <w:t>Description</w:t>
            </w:r>
          </w:p>
        </w:tc>
        <w:tc>
          <w:tcPr>
            <w:tcW w:type="dxa" w:w="2268"/>
            <w:shd w:fill="1B3A5C"/>
          </w:tcPr>
          <w:p>
            <w:r/>
            <w:r>
              <w:rPr>
                <w:b/>
                <w:color w:val="FFFFFF"/>
                <w:sz w:val="18"/>
              </w:rPr>
              <w:t>Date</w:t>
            </w:r>
          </w:p>
        </w:tc>
        <w:tc>
          <w:tcPr>
            <w:tcW w:type="dxa" w:w="2268"/>
            <w:shd w:fill="1B3A5C"/>
          </w:tcPr>
          <w:p>
            <w:r/>
            <w:r>
              <w:rPr>
                <w:b/>
                <w:color w:val="FFFFFF"/>
                <w:sz w:val="18"/>
              </w:rPr>
              <w:t>Author</w:t>
            </w:r>
          </w:p>
        </w:tc>
      </w:tr>
      <w:tr>
        <w:tc>
          <w:tcPr>
            <w:tcW w:type="dxa" w:w="1701"/>
          </w:tcPr>
          <w:p>
            <w:r/>
            <w:r>
              <w:rPr>
                <w:sz w:val="18"/>
              </w:rPr>
              <w:t>1.0</w:t>
            </w:r>
          </w:p>
        </w:tc>
        <w:tc>
          <w:tcPr>
            <w:tcW w:type="dxa" w:w="3969"/>
          </w:tcPr>
          <w:p>
            <w:r/>
            <w:r>
              <w:rPr>
                <w:sz w:val="18"/>
              </w:rPr>
              <w:t>Initial Release</w:t>
            </w:r>
          </w:p>
        </w:tc>
        <w:tc>
          <w:tcPr>
            <w:tcW w:type="dxa" w:w="2268"/>
          </w:tcPr>
          <w:p>
            <w:r/>
            <w:r>
              <w:rPr>
                <w:sz w:val="18"/>
              </w:rPr>
              <w:t>Jan 15, 2024</w:t>
            </w:r>
          </w:p>
        </w:tc>
        <w:tc>
          <w:tcPr>
            <w:tcW w:type="dxa" w:w="2268"/>
          </w:tcPr>
          <w:p>
            <w:r/>
            <w:r>
              <w:rPr>
                <w:sz w:val="18"/>
              </w:rPr>
              <w:t>Sarah Mitchell</w:t>
            </w:r>
          </w:p>
        </w:tc>
      </w:tr>
      <w:tr>
        <w:tc>
          <w:tcPr>
            <w:tcW w:type="dxa" w:w="1701"/>
            <w:shd w:fill="F0F4F8"/>
          </w:tcPr>
          <w:p>
            <w:r/>
            <w:r>
              <w:rPr>
                <w:sz w:val="18"/>
              </w:rPr>
              <w:t>2.0</w:t>
            </w:r>
          </w:p>
        </w:tc>
        <w:tc>
          <w:tcPr>
            <w:tcW w:type="dxa" w:w="3969"/>
            <w:shd w:fill="F0F4F8"/>
          </w:tcPr>
          <w:p>
            <w:r/>
            <w:r>
              <w:rPr>
                <w:sz w:val="18"/>
              </w:rPr>
              <w:t>Annual Review &amp; Update</w:t>
            </w:r>
          </w:p>
        </w:tc>
        <w:tc>
          <w:tcPr>
            <w:tcW w:type="dxa" w:w="2268"/>
            <w:shd w:fill="F0F4F8"/>
          </w:tcPr>
          <w:p>
            <w:r/>
            <w:r>
              <w:rPr>
                <w:sz w:val="18"/>
              </w:rPr>
              <w:t>Mar 10, 2025</w:t>
            </w:r>
          </w:p>
        </w:tc>
        <w:tc>
          <w:tcPr>
            <w:tcW w:type="dxa" w:w="2268"/>
            <w:shd w:fill="F0F4F8"/>
          </w:tcPr>
          <w:p>
            <w:r/>
            <w:r>
              <w:rPr>
                <w:sz w:val="18"/>
              </w:rPr>
              <w:t>Sarah Mitchell</w:t>
            </w:r>
          </w:p>
        </w:tc>
      </w:tr>
      <w:tr>
        <w:tc>
          <w:tcPr>
            <w:tcW w:type="dxa" w:w="1701"/>
          </w:tcPr>
          <w:p>
            <w:r/>
            <w:r>
              <w:rPr>
                <w:sz w:val="18"/>
              </w:rPr>
              <w:t>3.0</w:t>
            </w:r>
          </w:p>
        </w:tc>
        <w:tc>
          <w:tcPr>
            <w:tcW w:type="dxa" w:w="3969"/>
          </w:tcPr>
          <w:p>
            <w:r/>
            <w:r>
              <w:rPr>
                <w:sz w:val="18"/>
              </w:rPr>
              <w:t>Comprehensive Revision</w:t>
            </w:r>
          </w:p>
        </w:tc>
        <w:tc>
          <w:tcPr>
            <w:tcW w:type="dxa" w:w="2268"/>
          </w:tcPr>
          <w:p>
            <w:r/>
            <w:r>
              <w:rPr>
                <w:sz w:val="18"/>
              </w:rPr>
              <w:t>May 6, 2026</w:t>
            </w:r>
          </w:p>
        </w:tc>
        <w:tc>
          <w:tcPr>
            <w:tcW w:type="dxa" w:w="2268"/>
          </w:tcPr>
          <w:p>
            <w:r/>
            <w:r>
              <w:rPr>
                <w:sz w:val="18"/>
              </w:rPr>
              <w:t>Sarah Mitchell</w:t>
            </w:r>
          </w:p>
        </w:tc>
      </w:tr>
    </w:tbl>
    <w:p/>
    <w:p>
      <w:r>
        <w:br w:type="page"/>
      </w:r>
    </w:p>
    <w:tbl>
      <w:tblPr>
        <w:tblW w:type="auto" w:w="0"/>
        <w:jc w:val="center"/>
        <w:tblLayout w:type="autofit"/>
        <w:tblLook w:firstColumn="1" w:firstRow="1" w:lastColumn="0" w:lastRow="0" w:noHBand="0" w:noVBand="1" w:val="04A0"/>
      </w:tblPr>
      <w:tblGrid>
        <w:gridCol w:w="4703"/>
        <w:gridCol w:w="4703"/>
      </w:tblGrid>
      <w:tr>
        <w:tc>
          <w:tcPr>
            <w:tcW w:type="dxa" w:w="2835"/>
            <w:shd w:fill="1B3A5C"/>
          </w:tcPr>
          <w:p>
            <w:r/>
            <w:r>
              <w:rPr>
                <w:b/>
                <w:color w:val="FFFFFF"/>
                <w:sz w:val="20"/>
              </w:rPr>
              <w:t>Procedure Title</w:t>
            </w:r>
          </w:p>
        </w:tc>
        <w:tc>
          <w:tcPr>
            <w:tcW w:type="dxa" w:w="7370"/>
            <w:shd w:fill="F0F4F8"/>
          </w:tcPr>
          <w:p>
            <w:r/>
            <w:r>
              <w:rPr>
                <w:sz w:val="20"/>
              </w:rPr>
              <w:t>Competence, Training and Awareness</w:t>
            </w:r>
          </w:p>
        </w:tc>
      </w:tr>
      <w:tr>
        <w:tc>
          <w:tcPr>
            <w:tcW w:type="dxa" w:w="2835"/>
            <w:shd w:fill="1B3A5C"/>
          </w:tcPr>
          <w:p>
            <w:r/>
            <w:r>
              <w:rPr>
                <w:b/>
                <w:color w:val="FFFFFF"/>
                <w:sz w:val="20"/>
              </w:rPr>
              <w:t>Procedure Number</w:t>
            </w:r>
          </w:p>
        </w:tc>
        <w:tc>
          <w:tcPr>
            <w:tcW w:type="dxa" w:w="7370"/>
            <w:shd w:fill="F0F4F8"/>
          </w:tcPr>
          <w:p>
            <w:r/>
            <w:r>
              <w:rPr>
                <w:sz w:val="20"/>
              </w:rPr>
              <w:t>QP-008</w:t>
            </w:r>
          </w:p>
        </w:tc>
      </w:tr>
      <w:tr>
        <w:tc>
          <w:tcPr>
            <w:tcW w:type="dxa" w:w="2835"/>
            <w:shd w:fill="1B3A5C"/>
          </w:tcPr>
          <w:p>
            <w:r/>
            <w:r>
              <w:rPr>
                <w:b/>
                <w:color w:val="FFFFFF"/>
                <w:sz w:val="20"/>
              </w:rPr>
              <w:t>Version</w:t>
            </w:r>
          </w:p>
        </w:tc>
        <w:tc>
          <w:tcPr>
            <w:tcW w:type="dxa" w:w="7370"/>
            <w:shd w:fill="F0F4F8"/>
          </w:tcPr>
          <w:p>
            <w:r/>
            <w:r>
              <w:rPr>
                <w:sz w:val="20"/>
              </w:rPr>
              <w:t>3.0</w:t>
            </w:r>
          </w:p>
        </w:tc>
      </w:tr>
      <w:tr>
        <w:tc>
          <w:tcPr>
            <w:tcW w:type="dxa" w:w="2835"/>
            <w:shd w:fill="1B3A5C"/>
          </w:tcPr>
          <w:p>
            <w:r/>
            <w:r>
              <w:rPr>
                <w:b/>
                <w:color w:val="FFFFFF"/>
                <w:sz w:val="20"/>
              </w:rPr>
              <w:t>Revision Date</w:t>
            </w:r>
          </w:p>
        </w:tc>
        <w:tc>
          <w:tcPr>
            <w:tcW w:type="dxa" w:w="7370"/>
            <w:shd w:fill="F0F4F8"/>
          </w:tcPr>
          <w:p>
            <w:r/>
            <w:r>
              <w:rPr>
                <w:sz w:val="20"/>
              </w:rPr>
              <w:t>May 6, 2026</w:t>
            </w:r>
          </w:p>
        </w:tc>
      </w:tr>
      <w:tr>
        <w:tc>
          <w:tcPr>
            <w:tcW w:type="dxa" w:w="2835"/>
            <w:shd w:fill="1B3A5C"/>
          </w:tcPr>
          <w:p>
            <w:r/>
            <w:r>
              <w:rPr>
                <w:b/>
                <w:color w:val="FFFFFF"/>
                <w:sz w:val="20"/>
              </w:rPr>
              <w:t>Approved By</w:t>
            </w:r>
          </w:p>
        </w:tc>
        <w:tc>
          <w:tcPr>
            <w:tcW w:type="dxa" w:w="7370"/>
            <w:shd w:fill="F0F4F8"/>
          </w:tcPr>
          <w:p>
            <w:r/>
            <w:r>
              <w:rPr>
                <w:sz w:val="20"/>
              </w:rPr>
              <w:t>James Carter, Director of Operations</w:t>
            </w:r>
          </w:p>
        </w:tc>
      </w:tr>
    </w:tbl>
    <w:p/>
    <w:p>
      <w:pPr>
        <w:pStyle w:val="Heading2"/>
      </w:pPr>
      <w:r>
        <w:rPr>
          <w:color w:val="1B3A5C"/>
        </w:rPr>
        <w:t>1. Purpose</w:t>
      </w:r>
    </w:p>
    <w:p>
      <w:pPr>
        <w:spacing w:after="120"/>
      </w:pPr>
      <w:r>
        <w:rPr>
          <w:sz w:val="22"/>
        </w:rPr>
        <w:t>To ensure that all personnel affecting product and service conformity are competent based on appropriate education, training, skills, and experience, and are aware of the QMS and their contribution to its effectiveness.</w:t>
      </w:r>
    </w:p>
    <w:p>
      <w:pPr>
        <w:pStyle w:val="Heading2"/>
      </w:pPr>
      <w:r>
        <w:rPr>
          <w:color w:val="1B3A5C"/>
        </w:rPr>
        <w:t>2. Scope</w:t>
      </w:r>
    </w:p>
    <w:p>
      <w:pPr>
        <w:spacing w:after="120"/>
      </w:pPr>
      <w:r>
        <w:rPr>
          <w:sz w:val="22"/>
        </w:rPr>
        <w:t>This procedure applies to all employees, contractors, and temporary personnel whose work affects quality. It covers competency determination, gap analysis, training delivery, effectiveness evaluation, and awareness programs.</w:t>
      </w:r>
    </w:p>
    <w:p>
      <w:pPr>
        <w:pStyle w:val="Heading2"/>
      </w:pPr>
      <w:r>
        <w:rPr>
          <w:color w:val="1B3A5C"/>
        </w:rPr>
        <w:t>3. Responsibilities</w:t>
      </w:r>
    </w:p>
    <w:tbl>
      <w:tblPr>
        <w:tblStyle w:val="TableGrid"/>
        <w:tblW w:type="auto" w:w="0"/>
        <w:jc w:val="center"/>
        <w:tblLook w:firstColumn="1" w:firstRow="1" w:lastColumn="0" w:lastRow="0" w:noHBand="0" w:noVBand="1" w:val="04A0"/>
      </w:tblPr>
      <w:tblGrid>
        <w:gridCol w:w="4703"/>
        <w:gridCol w:w="4703"/>
      </w:tblGrid>
      <w:tr>
        <w:tc>
          <w:tcPr>
            <w:tcW w:type="dxa" w:w="2835"/>
            <w:shd w:fill="1B3A5C"/>
          </w:tcPr>
          <w:p>
            <w:r/>
            <w:r>
              <w:rPr>
                <w:b/>
                <w:color w:val="FFFFFF"/>
                <w:sz w:val="18"/>
              </w:rPr>
              <w:t>Role</w:t>
            </w:r>
          </w:p>
        </w:tc>
        <w:tc>
          <w:tcPr>
            <w:tcW w:type="dxa" w:w="7370"/>
            <w:shd w:fill="1B3A5C"/>
          </w:tcPr>
          <w:p>
            <w:r/>
            <w:r>
              <w:rPr>
                <w:b/>
                <w:color w:val="FFFFFF"/>
                <w:sz w:val="18"/>
              </w:rPr>
              <w:t>Responsibility</w:t>
            </w:r>
          </w:p>
        </w:tc>
      </w:tr>
      <w:tr>
        <w:tc>
          <w:tcPr>
            <w:tcW w:type="dxa" w:w="2835"/>
          </w:tcPr>
          <w:p>
            <w:r/>
            <w:r>
              <w:rPr>
                <w:sz w:val="18"/>
              </w:rPr>
              <w:t>HR Manager</w:t>
            </w:r>
          </w:p>
        </w:tc>
        <w:tc>
          <w:tcPr>
            <w:tcW w:type="dxa" w:w="7370"/>
          </w:tcPr>
          <w:p>
            <w:r/>
            <w:r>
              <w:rPr>
                <w:sz w:val="18"/>
              </w:rPr>
              <w:t>Coordinating the competency framework; managing training budgets; maintaining training records</w:t>
            </w:r>
          </w:p>
        </w:tc>
      </w:tr>
      <w:tr>
        <w:tc>
          <w:tcPr>
            <w:tcW w:type="dxa" w:w="2835"/>
            <w:shd w:fill="F0F4F8"/>
          </w:tcPr>
          <w:p>
            <w:r/>
            <w:r>
              <w:rPr>
                <w:sz w:val="18"/>
              </w:rPr>
              <w:t>Department Managers</w:t>
            </w:r>
          </w:p>
        </w:tc>
        <w:tc>
          <w:tcPr>
            <w:tcW w:type="dxa" w:w="7370"/>
            <w:shd w:fill="F0F4F8"/>
          </w:tcPr>
          <w:p>
            <w:r/>
            <w:r>
              <w:rPr>
                <w:sz w:val="18"/>
              </w:rPr>
              <w:t>Identifying competency requirements; conducting performance assessments; recommending training</w:t>
            </w:r>
          </w:p>
        </w:tc>
      </w:tr>
      <w:tr>
        <w:tc>
          <w:tcPr>
            <w:tcW w:type="dxa" w:w="2835"/>
          </w:tcPr>
          <w:p>
            <w:r/>
            <w:r>
              <w:rPr>
                <w:sz w:val="18"/>
              </w:rPr>
              <w:t>Quality Manager</w:t>
            </w:r>
          </w:p>
        </w:tc>
        <w:tc>
          <w:tcPr>
            <w:tcW w:type="dxa" w:w="7370"/>
          </w:tcPr>
          <w:p>
            <w:r/>
            <w:r>
              <w:rPr>
                <w:sz w:val="18"/>
              </w:rPr>
              <w:t>Defining QMS-related competency requirements; conducting quality awareness programs</w:t>
            </w:r>
          </w:p>
        </w:tc>
      </w:tr>
      <w:tr>
        <w:tc>
          <w:tcPr>
            <w:tcW w:type="dxa" w:w="2835"/>
            <w:shd w:fill="F0F4F8"/>
          </w:tcPr>
          <w:p>
            <w:r/>
            <w:r>
              <w:rPr>
                <w:sz w:val="18"/>
              </w:rPr>
              <w:t>Training Coordinator</w:t>
            </w:r>
          </w:p>
        </w:tc>
        <w:tc>
          <w:tcPr>
            <w:tcW w:type="dxa" w:w="7370"/>
            <w:shd w:fill="F0F4F8"/>
          </w:tcPr>
          <w:p>
            <w:r/>
            <w:r>
              <w:rPr>
                <w:sz w:val="18"/>
              </w:rPr>
              <w:t>Scheduling training events; tracking attendance; administering effectiveness evaluations</w:t>
            </w:r>
          </w:p>
        </w:tc>
      </w:tr>
      <w:tr>
        <w:tc>
          <w:tcPr>
            <w:tcW w:type="dxa" w:w="2835"/>
          </w:tcPr>
          <w:p>
            <w:r/>
            <w:r>
              <w:rPr>
                <w:sz w:val="18"/>
              </w:rPr>
              <w:t>All Employees</w:t>
            </w:r>
          </w:p>
        </w:tc>
        <w:tc>
          <w:tcPr>
            <w:tcW w:type="dxa" w:w="7370"/>
          </w:tcPr>
          <w:p>
            <w:r/>
            <w:r>
              <w:rPr>
                <w:sz w:val="18"/>
              </w:rPr>
              <w:t>Participating in training; applying learned skills; reporting training needs</w:t>
            </w:r>
          </w:p>
        </w:tc>
      </w:tr>
    </w:tbl>
    <w:p/>
    <w:p>
      <w:pPr>
        <w:pStyle w:val="Heading2"/>
      </w:pPr>
      <w:r>
        <w:rPr>
          <w:color w:val="1B3A5C"/>
        </w:rPr>
        <w:t>4. Definitions</w:t>
      </w:r>
    </w:p>
    <w:tbl>
      <w:tblPr>
        <w:tblStyle w:val="TableGrid"/>
        <w:tblW w:type="auto" w:w="0"/>
        <w:jc w:val="center"/>
        <w:tblLook w:firstColumn="1" w:firstRow="1" w:lastColumn="0" w:lastRow="0" w:noHBand="0" w:noVBand="1" w:val="04A0"/>
      </w:tblPr>
      <w:tblGrid>
        <w:gridCol w:w="4703"/>
        <w:gridCol w:w="4703"/>
      </w:tblGrid>
      <w:tr>
        <w:tc>
          <w:tcPr>
            <w:tcW w:type="dxa" w:w="2835"/>
            <w:shd w:fill="1B3A5C"/>
          </w:tcPr>
          <w:p>
            <w:r/>
            <w:r>
              <w:rPr>
                <w:b/>
                <w:color w:val="FFFFFF"/>
                <w:sz w:val="18"/>
              </w:rPr>
              <w:t>Term</w:t>
            </w:r>
          </w:p>
        </w:tc>
        <w:tc>
          <w:tcPr>
            <w:tcW w:type="dxa" w:w="7370"/>
            <w:shd w:fill="1B3A5C"/>
          </w:tcPr>
          <w:p>
            <w:r/>
            <w:r>
              <w:rPr>
                <w:b/>
                <w:color w:val="FFFFFF"/>
                <w:sz w:val="18"/>
              </w:rPr>
              <w:t>Definition</w:t>
            </w:r>
          </w:p>
        </w:tc>
      </w:tr>
      <w:tr>
        <w:tc>
          <w:tcPr>
            <w:tcW w:type="dxa" w:w="2835"/>
          </w:tcPr>
          <w:p>
            <w:r/>
            <w:r>
              <w:rPr>
                <w:sz w:val="18"/>
              </w:rPr>
              <w:t>Competence</w:t>
            </w:r>
          </w:p>
        </w:tc>
        <w:tc>
          <w:tcPr>
            <w:tcW w:type="dxa" w:w="7370"/>
          </w:tcPr>
          <w:p>
            <w:r/>
            <w:r>
              <w:rPr>
                <w:sz w:val="18"/>
              </w:rPr>
              <w:t>The demonstrated ability to apply knowledge and skills to achieve intended results</w:t>
            </w:r>
          </w:p>
        </w:tc>
      </w:tr>
      <w:tr>
        <w:tc>
          <w:tcPr>
            <w:tcW w:type="dxa" w:w="2835"/>
            <w:shd w:fill="F0F4F8"/>
          </w:tcPr>
          <w:p>
            <w:r/>
            <w:r>
              <w:rPr>
                <w:sz w:val="18"/>
              </w:rPr>
              <w:t>Competency Gap</w:t>
            </w:r>
          </w:p>
        </w:tc>
        <w:tc>
          <w:tcPr>
            <w:tcW w:type="dxa" w:w="7370"/>
            <w:shd w:fill="F0F4F8"/>
          </w:tcPr>
          <w:p>
            <w:r/>
            <w:r>
              <w:rPr>
                <w:sz w:val="18"/>
              </w:rPr>
              <w:t>The difference between required and current competency levels for a specific role</w:t>
            </w:r>
          </w:p>
        </w:tc>
      </w:tr>
      <w:tr>
        <w:tc>
          <w:tcPr>
            <w:tcW w:type="dxa" w:w="2835"/>
          </w:tcPr>
          <w:p>
            <w:r/>
            <w:r>
              <w:rPr>
                <w:sz w:val="18"/>
              </w:rPr>
              <w:t>On-the-Job Training</w:t>
            </w:r>
          </w:p>
        </w:tc>
        <w:tc>
          <w:tcPr>
            <w:tcW w:type="dxa" w:w="7370"/>
          </w:tcPr>
          <w:p>
            <w:r/>
            <w:r>
              <w:rPr>
                <w:sz w:val="18"/>
              </w:rPr>
              <w:t>Structured training conducted in the actual work environment under supervision</w:t>
            </w:r>
          </w:p>
        </w:tc>
      </w:tr>
      <w:tr>
        <w:tc>
          <w:tcPr>
            <w:tcW w:type="dxa" w:w="2835"/>
            <w:shd w:fill="F0F4F8"/>
          </w:tcPr>
          <w:p>
            <w:r/>
            <w:r>
              <w:rPr>
                <w:sz w:val="18"/>
              </w:rPr>
              <w:t>Training Effectiveness</w:t>
            </w:r>
          </w:p>
        </w:tc>
        <w:tc>
          <w:tcPr>
            <w:tcW w:type="dxa" w:w="7370"/>
            <w:shd w:fill="F0F4F8"/>
          </w:tcPr>
          <w:p>
            <w:r/>
            <w:r>
              <w:rPr>
                <w:sz w:val="18"/>
              </w:rPr>
              <w:t>The degree to which training achieves its learning objectives and improves job performance</w:t>
            </w:r>
          </w:p>
        </w:tc>
      </w:tr>
    </w:tbl>
    <w:p/>
    <w:p>
      <w:pPr>
        <w:pStyle w:val="Heading2"/>
      </w:pPr>
      <w:r>
        <w:rPr>
          <w:color w:val="1B3A5C"/>
        </w:rPr>
        <w:t>5. Process Steps</w:t>
      </w:r>
    </w:p>
    <w:p>
      <w:pPr>
        <w:spacing w:after="80"/>
      </w:pPr>
      <w:r>
        <w:rPr>
          <w:b/>
          <w:color w:val="1B3A5C"/>
          <w:sz w:val="22"/>
        </w:rPr>
        <w:t xml:space="preserve">1. </w:t>
      </w:r>
      <w:r>
        <w:rPr>
          <w:sz w:val="22"/>
        </w:rPr>
        <w:t>Define competency requirements for each role using Position Competency Profile (QF-008-01). Specify required education, certifications, technical skills, experience level, and QMS knowledge. Review and update annually.</w:t>
      </w:r>
    </w:p>
    <w:p>
      <w:pPr>
        <w:spacing w:after="80"/>
      </w:pPr>
      <w:r>
        <w:rPr>
          <w:b/>
          <w:color w:val="1B3A5C"/>
          <w:sz w:val="22"/>
        </w:rPr>
        <w:t xml:space="preserve">2. </w:t>
      </w:r>
      <w:r>
        <w:rPr>
          <w:sz w:val="22"/>
        </w:rPr>
        <w:t>Assess individual competency levels against the Profile during annual performance reviews and at hiring or role change. Use the Competency Assessment Form (QF-008-02) to rate each competency area.</w:t>
      </w:r>
    </w:p>
    <w:p>
      <w:pPr>
        <w:spacing w:after="80"/>
      </w:pPr>
      <w:r>
        <w:rPr>
          <w:b/>
          <w:color w:val="1B3A5C"/>
          <w:sz w:val="22"/>
        </w:rPr>
        <w:t xml:space="preserve">3. </w:t>
      </w:r>
      <w:r>
        <w:rPr>
          <w:sz w:val="22"/>
        </w:rPr>
        <w:t>Identify competency gaps by comparing assessed levels against required levels. Document gaps on the Individual Development Plan (QF-008-03). Prioritize gaps based on impact on quality and safety.</w:t>
      </w:r>
    </w:p>
    <w:p>
      <w:pPr>
        <w:spacing w:after="80"/>
      </w:pPr>
      <w:r>
        <w:rPr>
          <w:b/>
          <w:color w:val="1B3A5C"/>
          <w:sz w:val="22"/>
        </w:rPr>
        <w:t xml:space="preserve">4. </w:t>
      </w:r>
      <w:r>
        <w:rPr>
          <w:sz w:val="22"/>
        </w:rPr>
        <w:t>Develop the Annual Training Plan (QF-008-04) based on aggregated competency gaps, business objectives, regulatory requirements, and new technology or process introductions.</w:t>
      </w:r>
    </w:p>
    <w:p>
      <w:pPr>
        <w:spacing w:after="80"/>
      </w:pPr>
      <w:r>
        <w:rPr>
          <w:b/>
          <w:color w:val="1B3A5C"/>
          <w:sz w:val="22"/>
        </w:rPr>
        <w:t xml:space="preserve">5. </w:t>
      </w:r>
      <w:r>
        <w:rPr>
          <w:sz w:val="22"/>
        </w:rPr>
        <w:t>Deliver training through appropriate methods: classroom instruction, online modules, on-the-job training, coaching/mentoring, external courses, workshops, or conferences. Record attendance on QF-008-05.</w:t>
      </w:r>
    </w:p>
    <w:p>
      <w:pPr>
        <w:spacing w:after="80"/>
      </w:pPr>
      <w:r>
        <w:rPr>
          <w:b/>
          <w:color w:val="1B3A5C"/>
          <w:sz w:val="22"/>
        </w:rPr>
        <w:t xml:space="preserve">6. </w:t>
      </w:r>
      <w:r>
        <w:rPr>
          <w:sz w:val="22"/>
        </w:rPr>
        <w:t>Evaluate training effectiveness using structured methodology: Level 1 - Reaction (post-training surveys); Level 2 - Learning (knowledge assessments); Level 3 - Behavior (supervisor observation at 30/60/90 days); Level 4 - Results (performance improvement). Document on QF-008-06.</w:t>
      </w:r>
    </w:p>
    <w:p>
      <w:pPr>
        <w:spacing w:after="80"/>
      </w:pPr>
      <w:r>
        <w:rPr>
          <w:b/>
          <w:color w:val="1B3A5C"/>
          <w:sz w:val="22"/>
        </w:rPr>
        <w:t xml:space="preserve">7. </w:t>
      </w:r>
      <w:r>
        <w:rPr>
          <w:sz w:val="22"/>
        </w:rPr>
        <w:t>Conduct QMS awareness programs covering: Quality Policy, quality objectives, contribution to QMS effectiveness, implications of non-conformance, and procedure updates. Deliver during induction and annually.</w:t>
      </w:r>
    </w:p>
    <w:p>
      <w:pPr>
        <w:spacing w:after="80"/>
      </w:pPr>
      <w:r>
        <w:rPr>
          <w:b/>
          <w:color w:val="1B3A5C"/>
          <w:sz w:val="22"/>
        </w:rPr>
        <w:t xml:space="preserve">8. </w:t>
      </w:r>
      <w:r>
        <w:rPr>
          <w:sz w:val="22"/>
        </w:rPr>
        <w:t>Maintain comprehensive training records in the Training Database: employee name, training title, date, provider, duration, assessment results, certificates, and next retraining date.</w:t>
      </w:r>
    </w:p>
    <w:p>
      <w:pPr>
        <w:spacing w:after="80"/>
      </w:pPr>
      <w:r>
        <w:rPr>
          <w:b/>
          <w:color w:val="1B3A5C"/>
          <w:sz w:val="22"/>
        </w:rPr>
        <w:t xml:space="preserve">9. </w:t>
      </w:r>
      <w:r>
        <w:rPr>
          <w:sz w:val="22"/>
        </w:rPr>
        <w:t>Where competency cannot be achieved through training alone, take alternative actions: mentoring programs, supervised work periods, reassignment, or hiring personnel with the required competencies.</w:t>
      </w:r>
    </w:p>
    <w:p/>
    <w:p>
      <w:pPr>
        <w:pStyle w:val="Heading2"/>
      </w:pPr>
      <w:r>
        <w:rPr>
          <w:color w:val="1B3A5C"/>
        </w:rPr>
        <w:t>6. Required Records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fill="1B3A5C"/>
          </w:tcPr>
          <w:p>
            <w:r/>
            <w:r>
              <w:rPr>
                <w:b/>
                <w:color w:val="FFFFFF"/>
                <w:sz w:val="18"/>
              </w:rPr>
              <w:t>Record Name</w:t>
            </w:r>
          </w:p>
        </w:tc>
        <w:tc>
          <w:tcPr>
            <w:tcW w:type="dxa" w:w="1701"/>
            <w:shd w:fill="1B3A5C"/>
          </w:tcPr>
          <w:p>
            <w:r/>
            <w:r>
              <w:rPr>
                <w:b/>
                <w:color w:val="FFFFFF"/>
                <w:sz w:val="18"/>
              </w:rPr>
              <w:t>Record No.</w:t>
            </w:r>
          </w:p>
        </w:tc>
        <w:tc>
          <w:tcPr>
            <w:tcW w:type="dxa" w:w="2268"/>
            <w:shd w:fill="1B3A5C"/>
          </w:tcPr>
          <w:p>
            <w:r/>
            <w:r>
              <w:rPr>
                <w:b/>
                <w:color w:val="FFFFFF"/>
                <w:sz w:val="18"/>
              </w:rPr>
              <w:t>Retention</w:t>
            </w:r>
          </w:p>
        </w:tc>
        <w:tc>
          <w:tcPr>
            <w:tcW w:type="dxa" w:w="3118"/>
            <w:shd w:fill="1B3A5C"/>
          </w:tcPr>
          <w:p>
            <w:r/>
            <w:r>
              <w:rPr>
                <w:b/>
                <w:color w:val="FFFFFF"/>
                <w:sz w:val="18"/>
              </w:rPr>
              <w:t>Storage</w:t>
            </w:r>
          </w:p>
        </w:tc>
      </w:tr>
      <w:tr>
        <w:tc>
          <w:tcPr>
            <w:tcW w:type="dxa" w:w="3118"/>
          </w:tcPr>
          <w:p>
            <w:r/>
            <w:r>
              <w:rPr>
                <w:sz w:val="18"/>
              </w:rPr>
              <w:t>Position Competency Profile</w:t>
            </w:r>
          </w:p>
        </w:tc>
        <w:tc>
          <w:tcPr>
            <w:tcW w:type="dxa" w:w="1701"/>
          </w:tcPr>
          <w:p>
            <w:r/>
            <w:r>
              <w:rPr>
                <w:sz w:val="18"/>
              </w:rPr>
              <w:t>QF-008-01</w:t>
            </w:r>
          </w:p>
        </w:tc>
        <w:tc>
          <w:tcPr>
            <w:tcW w:type="dxa" w:w="2268"/>
          </w:tcPr>
          <w:p>
            <w:r/>
            <w:r>
              <w:rPr>
                <w:sz w:val="18"/>
              </w:rPr>
              <w:t>Current + 2 prior</w:t>
            </w:r>
          </w:p>
        </w:tc>
        <w:tc>
          <w:tcPr>
            <w:tcW w:type="dxa" w:w="3118"/>
          </w:tcPr>
          <w:p>
            <w:r/>
            <w:r>
              <w:rPr>
                <w:sz w:val="18"/>
              </w:rPr>
              <w:t>HR / Electronic Portal</w:t>
            </w:r>
          </w:p>
        </w:tc>
      </w:tr>
      <w:tr>
        <w:tc>
          <w:tcPr>
            <w:tcW w:type="dxa" w:w="3118"/>
            <w:shd w:fill="F0F4F8"/>
          </w:tcPr>
          <w:p>
            <w:r/>
            <w:r>
              <w:rPr>
                <w:sz w:val="18"/>
              </w:rPr>
              <w:t>Competency Assessment Form</w:t>
            </w:r>
          </w:p>
        </w:tc>
        <w:tc>
          <w:tcPr>
            <w:tcW w:type="dxa" w:w="1701"/>
            <w:shd w:fill="F0F4F8"/>
          </w:tcPr>
          <w:p>
            <w:r/>
            <w:r>
              <w:rPr>
                <w:sz w:val="18"/>
              </w:rPr>
              <w:t>QF-008-02</w:t>
            </w:r>
          </w:p>
        </w:tc>
        <w:tc>
          <w:tcPr>
            <w:tcW w:type="dxa" w:w="2268"/>
            <w:shd w:fill="F0F4F8"/>
          </w:tcPr>
          <w:p>
            <w:r/>
            <w:r>
              <w:rPr>
                <w:sz w:val="18"/>
              </w:rPr>
              <w:t>5 years</w:t>
            </w:r>
          </w:p>
        </w:tc>
        <w:tc>
          <w:tcPr>
            <w:tcW w:type="dxa" w:w="3118"/>
            <w:shd w:fill="F0F4F8"/>
          </w:tcPr>
          <w:p>
            <w:r/>
            <w:r>
              <w:rPr>
                <w:sz w:val="18"/>
              </w:rPr>
              <w:t>HR Department</w:t>
            </w:r>
          </w:p>
        </w:tc>
      </w:tr>
      <w:tr>
        <w:tc>
          <w:tcPr>
            <w:tcW w:type="dxa" w:w="3118"/>
          </w:tcPr>
          <w:p>
            <w:r/>
            <w:r>
              <w:rPr>
                <w:sz w:val="18"/>
              </w:rPr>
              <w:t>Individual Development Plan</w:t>
            </w:r>
          </w:p>
        </w:tc>
        <w:tc>
          <w:tcPr>
            <w:tcW w:type="dxa" w:w="1701"/>
          </w:tcPr>
          <w:p>
            <w:r/>
            <w:r>
              <w:rPr>
                <w:sz w:val="18"/>
              </w:rPr>
              <w:t>QF-008-03</w:t>
            </w:r>
          </w:p>
        </w:tc>
        <w:tc>
          <w:tcPr>
            <w:tcW w:type="dxa" w:w="2268"/>
          </w:tcPr>
          <w:p>
            <w:r/>
            <w:r>
              <w:rPr>
                <w:sz w:val="18"/>
              </w:rPr>
              <w:t>3 years</w:t>
            </w:r>
          </w:p>
        </w:tc>
        <w:tc>
          <w:tcPr>
            <w:tcW w:type="dxa" w:w="3118"/>
          </w:tcPr>
          <w:p>
            <w:r/>
            <w:r>
              <w:rPr>
                <w:sz w:val="18"/>
              </w:rPr>
              <w:t>HR Department</w:t>
            </w:r>
          </w:p>
        </w:tc>
      </w:tr>
      <w:tr>
        <w:tc>
          <w:tcPr>
            <w:tcW w:type="dxa" w:w="3118"/>
            <w:shd w:fill="F0F4F8"/>
          </w:tcPr>
          <w:p>
            <w:r/>
            <w:r>
              <w:rPr>
                <w:sz w:val="18"/>
              </w:rPr>
              <w:t>Annual Training Plan</w:t>
            </w:r>
          </w:p>
        </w:tc>
        <w:tc>
          <w:tcPr>
            <w:tcW w:type="dxa" w:w="1701"/>
            <w:shd w:fill="F0F4F8"/>
          </w:tcPr>
          <w:p>
            <w:r/>
            <w:r>
              <w:rPr>
                <w:sz w:val="18"/>
              </w:rPr>
              <w:t>QF-008-04</w:t>
            </w:r>
          </w:p>
        </w:tc>
        <w:tc>
          <w:tcPr>
            <w:tcW w:type="dxa" w:w="2268"/>
            <w:shd w:fill="F0F4F8"/>
          </w:tcPr>
          <w:p>
            <w:r/>
            <w:r>
              <w:rPr>
                <w:sz w:val="18"/>
              </w:rPr>
              <w:t>5 years</w:t>
            </w:r>
          </w:p>
        </w:tc>
        <w:tc>
          <w:tcPr>
            <w:tcW w:type="dxa" w:w="3118"/>
            <w:shd w:fill="F0F4F8"/>
          </w:tcPr>
          <w:p>
            <w:r/>
            <w:r>
              <w:rPr>
                <w:sz w:val="18"/>
              </w:rPr>
              <w:t>Electronic QMS Portal</w:t>
            </w:r>
          </w:p>
        </w:tc>
      </w:tr>
      <w:tr>
        <w:tc>
          <w:tcPr>
            <w:tcW w:type="dxa" w:w="3118"/>
          </w:tcPr>
          <w:p>
            <w:r/>
            <w:r>
              <w:rPr>
                <w:sz w:val="18"/>
              </w:rPr>
              <w:t>Training Attendance Record</w:t>
            </w:r>
          </w:p>
        </w:tc>
        <w:tc>
          <w:tcPr>
            <w:tcW w:type="dxa" w:w="1701"/>
          </w:tcPr>
          <w:p>
            <w:r/>
            <w:r>
              <w:rPr>
                <w:sz w:val="18"/>
              </w:rPr>
              <w:t>QF-008-05</w:t>
            </w:r>
          </w:p>
        </w:tc>
        <w:tc>
          <w:tcPr>
            <w:tcW w:type="dxa" w:w="2268"/>
          </w:tcPr>
          <w:p>
            <w:r/>
            <w:r>
              <w:rPr>
                <w:sz w:val="18"/>
              </w:rPr>
              <w:t>5 years</w:t>
            </w:r>
          </w:p>
        </w:tc>
        <w:tc>
          <w:tcPr>
            <w:tcW w:type="dxa" w:w="3118"/>
          </w:tcPr>
          <w:p>
            <w:r/>
            <w:r>
              <w:rPr>
                <w:sz w:val="18"/>
              </w:rPr>
              <w:t>HR Department</w:t>
            </w:r>
          </w:p>
        </w:tc>
      </w:tr>
      <w:tr>
        <w:tc>
          <w:tcPr>
            <w:tcW w:type="dxa" w:w="3118"/>
            <w:shd w:fill="F0F4F8"/>
          </w:tcPr>
          <w:p>
            <w:r/>
            <w:r>
              <w:rPr>
                <w:sz w:val="18"/>
              </w:rPr>
              <w:t>Training Effectiveness Eval</w:t>
            </w:r>
          </w:p>
        </w:tc>
        <w:tc>
          <w:tcPr>
            <w:tcW w:type="dxa" w:w="1701"/>
            <w:shd w:fill="F0F4F8"/>
          </w:tcPr>
          <w:p>
            <w:r/>
            <w:r>
              <w:rPr>
                <w:sz w:val="18"/>
              </w:rPr>
              <w:t>QF-008-06</w:t>
            </w:r>
          </w:p>
        </w:tc>
        <w:tc>
          <w:tcPr>
            <w:tcW w:type="dxa" w:w="2268"/>
            <w:shd w:fill="F0F4F8"/>
          </w:tcPr>
          <w:p>
            <w:r/>
            <w:r>
              <w:rPr>
                <w:sz w:val="18"/>
              </w:rPr>
              <w:t>5 years</w:t>
            </w:r>
          </w:p>
        </w:tc>
        <w:tc>
          <w:tcPr>
            <w:tcW w:type="dxa" w:w="3118"/>
            <w:shd w:fill="F0F4F8"/>
          </w:tcPr>
          <w:p>
            <w:r/>
            <w:r>
              <w:rPr>
                <w:sz w:val="18"/>
              </w:rPr>
              <w:t>Electronic QMS Portal</w:t>
            </w:r>
          </w:p>
        </w:tc>
      </w:tr>
    </w:tbl>
    <w:p/>
    <w:p>
      <w:pPr>
        <w:pStyle w:val="Heading2"/>
      </w:pPr>
      <w:r>
        <w:rPr>
          <w:color w:val="1B3A5C"/>
        </w:rPr>
        <w:t>7. Key Performance Indicators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fill="1B3A5C"/>
          </w:tcPr>
          <w:p>
            <w:r/>
            <w:r>
              <w:rPr>
                <w:b/>
                <w:color w:val="FFFFFF"/>
                <w:sz w:val="18"/>
              </w:rPr>
              <w:t>KPI Name</w:t>
            </w:r>
          </w:p>
        </w:tc>
        <w:tc>
          <w:tcPr>
            <w:tcW w:type="dxa" w:w="2835"/>
            <w:shd w:fill="1B3A5C"/>
          </w:tcPr>
          <w:p>
            <w:r/>
            <w:r>
              <w:rPr>
                <w:b/>
                <w:color w:val="FFFFFF"/>
                <w:sz w:val="18"/>
              </w:rPr>
              <w:t>Target</w:t>
            </w:r>
          </w:p>
        </w:tc>
        <w:tc>
          <w:tcPr>
            <w:tcW w:type="dxa" w:w="2268"/>
            <w:shd w:fill="1B3A5C"/>
          </w:tcPr>
          <w:p>
            <w:r/>
            <w:r>
              <w:rPr>
                <w:b/>
                <w:color w:val="FFFFFF"/>
                <w:sz w:val="18"/>
              </w:rPr>
              <w:t>Frequency</w:t>
            </w:r>
          </w:p>
        </w:tc>
        <w:tc>
          <w:tcPr>
            <w:tcW w:type="dxa" w:w="2268"/>
            <w:shd w:fill="1B3A5C"/>
          </w:tcPr>
          <w:p>
            <w:r/>
            <w:r>
              <w:rPr>
                <w:b/>
                <w:color w:val="FFFFFF"/>
                <w:sz w:val="18"/>
              </w:rPr>
              <w:t>Responsible</w:t>
            </w:r>
          </w:p>
        </w:tc>
      </w:tr>
      <w:tr>
        <w:tc>
          <w:tcPr>
            <w:tcW w:type="dxa" w:w="2835"/>
          </w:tcPr>
          <w:p>
            <w:r/>
            <w:r>
              <w:rPr>
                <w:sz w:val="18"/>
              </w:rPr>
              <w:t>Training Plan Completion</w:t>
            </w:r>
          </w:p>
        </w:tc>
        <w:tc>
          <w:tcPr>
            <w:tcW w:type="dxa" w:w="2835"/>
          </w:tcPr>
          <w:p>
            <w:r/>
            <w:r>
              <w:rPr>
                <w:sz w:val="18"/>
              </w:rPr>
              <w:t>&gt;90% planned training delivered</w:t>
            </w:r>
          </w:p>
        </w:tc>
        <w:tc>
          <w:tcPr>
            <w:tcW w:type="dxa" w:w="2268"/>
          </w:tcPr>
          <w:p>
            <w:r/>
            <w:r>
              <w:rPr>
                <w:sz w:val="18"/>
              </w:rPr>
              <w:t>Annually</w:t>
            </w:r>
          </w:p>
        </w:tc>
        <w:tc>
          <w:tcPr>
            <w:tcW w:type="dxa" w:w="2268"/>
          </w:tcPr>
          <w:p>
            <w:r/>
            <w:r>
              <w:rPr>
                <w:sz w:val="18"/>
              </w:rPr>
              <w:t>HR Manager</w:t>
            </w:r>
          </w:p>
        </w:tc>
      </w:tr>
      <w:tr>
        <w:tc>
          <w:tcPr>
            <w:tcW w:type="dxa" w:w="2835"/>
            <w:shd w:fill="F0F4F8"/>
          </w:tcPr>
          <w:p>
            <w:r/>
            <w:r>
              <w:rPr>
                <w:sz w:val="18"/>
              </w:rPr>
              <w:t>Competency Gap Closure</w:t>
            </w:r>
          </w:p>
        </w:tc>
        <w:tc>
          <w:tcPr>
            <w:tcW w:type="dxa" w:w="2835"/>
            <w:shd w:fill="F0F4F8"/>
          </w:tcPr>
          <w:p>
            <w:r/>
            <w:r>
              <w:rPr>
                <w:sz w:val="18"/>
              </w:rPr>
              <w:t>&gt;80% gaps addressed in 12 months</w:t>
            </w:r>
          </w:p>
        </w:tc>
        <w:tc>
          <w:tcPr>
            <w:tcW w:type="dxa" w:w="2268"/>
            <w:shd w:fill="F0F4F8"/>
          </w:tcPr>
          <w:p>
            <w:r/>
            <w:r>
              <w:rPr>
                <w:sz w:val="18"/>
              </w:rPr>
              <w:t>Annually</w:t>
            </w:r>
          </w:p>
        </w:tc>
        <w:tc>
          <w:tcPr>
            <w:tcW w:type="dxa" w:w="2268"/>
            <w:shd w:fill="F0F4F8"/>
          </w:tcPr>
          <w:p>
            <w:r/>
            <w:r>
              <w:rPr>
                <w:sz w:val="18"/>
              </w:rPr>
              <w:t>Department Managers</w:t>
            </w:r>
          </w:p>
        </w:tc>
      </w:tr>
      <w:tr>
        <w:tc>
          <w:tcPr>
            <w:tcW w:type="dxa" w:w="2835"/>
          </w:tcPr>
          <w:p>
            <w:r/>
            <w:r>
              <w:rPr>
                <w:sz w:val="18"/>
              </w:rPr>
              <w:t>Training Effectiveness</w:t>
            </w:r>
          </w:p>
        </w:tc>
        <w:tc>
          <w:tcPr>
            <w:tcW w:type="dxa" w:w="2835"/>
          </w:tcPr>
          <w:p>
            <w:r/>
            <w:r>
              <w:rPr>
                <w:sz w:val="18"/>
              </w:rPr>
              <w:t>&gt;80% positive Level 2 results</w:t>
            </w:r>
          </w:p>
        </w:tc>
        <w:tc>
          <w:tcPr>
            <w:tcW w:type="dxa" w:w="2268"/>
          </w:tcPr>
          <w:p>
            <w:r/>
            <w:r>
              <w:rPr>
                <w:sz w:val="18"/>
              </w:rPr>
              <w:t>Per event</w:t>
            </w:r>
          </w:p>
        </w:tc>
        <w:tc>
          <w:tcPr>
            <w:tcW w:type="dxa" w:w="2268"/>
          </w:tcPr>
          <w:p>
            <w:r/>
            <w:r>
              <w:rPr>
                <w:sz w:val="18"/>
              </w:rPr>
              <w:t>Training Coordinator</w:t>
            </w:r>
          </w:p>
        </w:tc>
      </w:tr>
      <w:tr>
        <w:tc>
          <w:tcPr>
            <w:tcW w:type="dxa" w:w="2835"/>
            <w:shd w:fill="F0F4F8"/>
          </w:tcPr>
          <w:p>
            <w:r/>
            <w:r>
              <w:rPr>
                <w:sz w:val="18"/>
              </w:rPr>
              <w:t>QMS Awareness Coverage</w:t>
            </w:r>
          </w:p>
        </w:tc>
        <w:tc>
          <w:tcPr>
            <w:tcW w:type="dxa" w:w="2835"/>
            <w:shd w:fill="F0F4F8"/>
          </w:tcPr>
          <w:p>
            <w:r/>
            <w:r>
              <w:rPr>
                <w:sz w:val="18"/>
              </w:rPr>
              <w:t>100% annual completion</w:t>
            </w:r>
          </w:p>
        </w:tc>
        <w:tc>
          <w:tcPr>
            <w:tcW w:type="dxa" w:w="2268"/>
            <w:shd w:fill="F0F4F8"/>
          </w:tcPr>
          <w:p>
            <w:r/>
            <w:r>
              <w:rPr>
                <w:sz w:val="18"/>
              </w:rPr>
              <w:t>Annually</w:t>
            </w:r>
          </w:p>
        </w:tc>
        <w:tc>
          <w:tcPr>
            <w:tcW w:type="dxa" w:w="2268"/>
            <w:shd w:fill="F0F4F8"/>
          </w:tcPr>
          <w:p>
            <w:r/>
            <w:r>
              <w:rPr>
                <w:sz w:val="18"/>
              </w:rPr>
              <w:t>Quality Manager</w:t>
            </w:r>
          </w:p>
        </w:tc>
      </w:tr>
    </w:tbl>
    <w:p/>
    <w:p>
      <w:pPr>
        <w:pStyle w:val="Heading2"/>
      </w:pPr>
      <w:r>
        <w:rPr>
          <w:color w:val="1B3A5C"/>
        </w:rPr>
        <w:t>8. ISO 9001:2015 References</w:t>
      </w:r>
    </w:p>
    <w:p>
      <w:pPr>
        <w:pStyle w:val="ListBullet"/>
      </w:pPr>
      <w:r>
        <w:rPr>
          <w:sz w:val="22"/>
        </w:rPr>
        <w:t>Clause 7.1.2 People</w:t>
      </w:r>
    </w:p>
    <w:p>
      <w:pPr>
        <w:pStyle w:val="ListBullet"/>
      </w:pPr>
      <w:r>
        <w:rPr>
          <w:sz w:val="22"/>
        </w:rPr>
        <w:t>Clause 7.2 Competence</w:t>
      </w:r>
    </w:p>
    <w:p>
      <w:pPr>
        <w:pStyle w:val="ListBullet"/>
      </w:pPr>
      <w:r>
        <w:rPr>
          <w:sz w:val="22"/>
        </w:rPr>
        <w:t>Clause 7.3 Awareness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