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D927" w14:textId="77777777" w:rsidR="00347272" w:rsidRPr="00613C07" w:rsidRDefault="00347272" w:rsidP="004E6AD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7EF952B" w14:textId="77777777" w:rsidR="00347272" w:rsidRPr="00613C07" w:rsidRDefault="00347272" w:rsidP="004E6AD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406CC0F" w14:textId="77777777" w:rsidR="00347272" w:rsidRPr="00613C07" w:rsidRDefault="00347272" w:rsidP="004E6AD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E89F192" w14:textId="77777777" w:rsidR="00347272" w:rsidRPr="00613C07" w:rsidRDefault="00347272" w:rsidP="004E6AD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25DA97A" w14:textId="77777777" w:rsidR="00347272" w:rsidRPr="00613C07" w:rsidRDefault="00347272" w:rsidP="004E6AD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8E02E0F" w14:textId="77777777" w:rsidR="00347272" w:rsidRPr="00613C07" w:rsidRDefault="00347272" w:rsidP="004E6AD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BE03A3E" w14:textId="29B4DAD2" w:rsidR="00347272" w:rsidRPr="00613C07" w:rsidRDefault="004E6AD7" w:rsidP="004E6AD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13C07">
        <w:rPr>
          <w:rFonts w:ascii="Arial" w:hAnsi="Arial" w:cs="Arial"/>
          <w:b/>
          <w:bCs/>
          <w:sz w:val="36"/>
          <w:szCs w:val="36"/>
        </w:rPr>
        <w:t xml:space="preserve">Identificação dos Fatores Associados à Inadimplência por meio de Análise Exploratória de Dados - Carteira de Crédito </w:t>
      </w:r>
      <w:r w:rsidR="00A8127C">
        <w:rPr>
          <w:rFonts w:ascii="Arial" w:hAnsi="Arial" w:cs="Arial"/>
          <w:b/>
          <w:bCs/>
          <w:sz w:val="36"/>
          <w:szCs w:val="36"/>
        </w:rPr>
        <w:t>-</w:t>
      </w:r>
      <w:r w:rsidRPr="00613C07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613C07">
        <w:rPr>
          <w:rFonts w:ascii="Arial" w:hAnsi="Arial" w:cs="Arial"/>
          <w:b/>
          <w:bCs/>
          <w:sz w:val="36"/>
          <w:szCs w:val="36"/>
        </w:rPr>
        <w:t>ApexBank</w:t>
      </w:r>
      <w:proofErr w:type="spellEnd"/>
      <w:r w:rsidRPr="00613C07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6CDD897F" w14:textId="5A8DC58B" w:rsidR="004E6AD7" w:rsidRPr="00FC2248" w:rsidRDefault="004E6AD7" w:rsidP="004E6AD7">
      <w:pPr>
        <w:jc w:val="center"/>
        <w:rPr>
          <w:rFonts w:ascii="Arial" w:hAnsi="Arial" w:cs="Arial"/>
          <w:sz w:val="36"/>
          <w:szCs w:val="36"/>
        </w:rPr>
      </w:pPr>
      <w:r w:rsidRPr="00FC2248">
        <w:rPr>
          <w:rFonts w:ascii="Arial" w:hAnsi="Arial" w:cs="Arial"/>
          <w:sz w:val="36"/>
          <w:szCs w:val="36"/>
        </w:rPr>
        <w:t>(Análise Exploratória de Dados)</w:t>
      </w:r>
    </w:p>
    <w:p w14:paraId="05FD431F" w14:textId="09F0C660" w:rsidR="004E6AD7" w:rsidRPr="00613C07" w:rsidRDefault="004E6AD7" w:rsidP="004E6AD7">
      <w:pPr>
        <w:rPr>
          <w:rFonts w:ascii="Arial" w:hAnsi="Arial" w:cs="Arial"/>
          <w:b/>
          <w:bCs/>
          <w:sz w:val="40"/>
          <w:szCs w:val="40"/>
        </w:rPr>
      </w:pPr>
    </w:p>
    <w:p w14:paraId="43B27865" w14:textId="77777777" w:rsidR="00347272" w:rsidRPr="00613C07" w:rsidRDefault="00347272" w:rsidP="004E6AD7">
      <w:pPr>
        <w:rPr>
          <w:rFonts w:ascii="Arial" w:hAnsi="Arial" w:cs="Arial"/>
          <w:b/>
          <w:bCs/>
          <w:sz w:val="40"/>
          <w:szCs w:val="40"/>
        </w:rPr>
      </w:pPr>
    </w:p>
    <w:p w14:paraId="0E99C981" w14:textId="77777777" w:rsidR="00347272" w:rsidRPr="00613C07" w:rsidRDefault="00347272" w:rsidP="004E6AD7">
      <w:pPr>
        <w:rPr>
          <w:rFonts w:ascii="Arial" w:hAnsi="Arial" w:cs="Arial"/>
          <w:b/>
          <w:bCs/>
          <w:sz w:val="40"/>
          <w:szCs w:val="40"/>
        </w:rPr>
      </w:pPr>
    </w:p>
    <w:p w14:paraId="2C64478C" w14:textId="77777777" w:rsidR="00347272" w:rsidRPr="00613C07" w:rsidRDefault="00347272" w:rsidP="004E6AD7">
      <w:pPr>
        <w:rPr>
          <w:rFonts w:ascii="Arial" w:hAnsi="Arial" w:cs="Arial"/>
          <w:b/>
          <w:bCs/>
          <w:sz w:val="40"/>
          <w:szCs w:val="40"/>
        </w:rPr>
      </w:pPr>
    </w:p>
    <w:p w14:paraId="6F6B49A8" w14:textId="70FACCBA" w:rsidR="004E6AD7" w:rsidRDefault="004E6AD7" w:rsidP="004E6AD7">
      <w:pPr>
        <w:rPr>
          <w:rFonts w:ascii="Arial" w:hAnsi="Arial" w:cs="Arial"/>
        </w:rPr>
      </w:pPr>
    </w:p>
    <w:p w14:paraId="2F41FF33" w14:textId="77777777" w:rsidR="00A8127C" w:rsidRDefault="00A8127C" w:rsidP="004E6AD7">
      <w:pPr>
        <w:rPr>
          <w:rFonts w:ascii="Arial" w:hAnsi="Arial" w:cs="Arial"/>
        </w:rPr>
      </w:pPr>
    </w:p>
    <w:p w14:paraId="376396C5" w14:textId="77777777" w:rsidR="00A8127C" w:rsidRPr="00613C07" w:rsidRDefault="00A8127C" w:rsidP="004E6AD7">
      <w:pPr>
        <w:rPr>
          <w:rFonts w:ascii="Arial" w:hAnsi="Arial" w:cs="Arial"/>
        </w:rPr>
      </w:pPr>
    </w:p>
    <w:p w14:paraId="1BD48A68" w14:textId="77777777" w:rsidR="004E6AD7" w:rsidRDefault="004E6AD7" w:rsidP="004E6AD7">
      <w:pPr>
        <w:rPr>
          <w:rFonts w:ascii="Arial" w:hAnsi="Arial" w:cs="Arial"/>
        </w:rPr>
      </w:pPr>
    </w:p>
    <w:p w14:paraId="73972DB7" w14:textId="77777777" w:rsidR="00A8127C" w:rsidRPr="00613C07" w:rsidRDefault="00A8127C" w:rsidP="004E6AD7">
      <w:pPr>
        <w:rPr>
          <w:rFonts w:ascii="Arial" w:hAnsi="Arial" w:cs="Arial"/>
        </w:rPr>
      </w:pPr>
    </w:p>
    <w:p w14:paraId="61E429EA" w14:textId="77777777" w:rsidR="004E6AD7" w:rsidRPr="00613C07" w:rsidRDefault="004E6AD7" w:rsidP="004E6AD7">
      <w:pPr>
        <w:rPr>
          <w:rFonts w:ascii="Arial" w:hAnsi="Arial" w:cs="Arial"/>
        </w:rPr>
      </w:pPr>
    </w:p>
    <w:p w14:paraId="01F5B77C" w14:textId="77777777" w:rsidR="004E6AD7" w:rsidRPr="00013542" w:rsidRDefault="004E6AD7" w:rsidP="00A8127C">
      <w:pPr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b/>
          <w:bCs/>
          <w:sz w:val="24"/>
          <w:szCs w:val="24"/>
        </w:rPr>
        <w:t>Autor:</w:t>
      </w:r>
      <w:r w:rsidRPr="00013542">
        <w:rPr>
          <w:rFonts w:ascii="Arial" w:hAnsi="Arial" w:cs="Arial"/>
          <w:sz w:val="24"/>
          <w:szCs w:val="24"/>
        </w:rPr>
        <w:t xml:space="preserve"> Frederico Bilheri</w:t>
      </w:r>
    </w:p>
    <w:p w14:paraId="4A8CB07E" w14:textId="77777777" w:rsidR="004E6AD7" w:rsidRPr="00013542" w:rsidRDefault="004E6AD7" w:rsidP="00A8127C">
      <w:pPr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b/>
          <w:bCs/>
          <w:sz w:val="24"/>
          <w:szCs w:val="24"/>
        </w:rPr>
        <w:t>Projeto:</w:t>
      </w:r>
      <w:r w:rsidRPr="00013542">
        <w:rPr>
          <w:rFonts w:ascii="Arial" w:hAnsi="Arial" w:cs="Arial"/>
          <w:sz w:val="24"/>
          <w:szCs w:val="24"/>
        </w:rPr>
        <w:t xml:space="preserve"> Portfólio de Ciência de Dados</w:t>
      </w:r>
    </w:p>
    <w:p w14:paraId="125B9E35" w14:textId="1D2CA3B5" w:rsidR="004E6AD7" w:rsidRPr="00013542" w:rsidRDefault="004E6AD7" w:rsidP="00A8127C">
      <w:pPr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b/>
          <w:bCs/>
          <w:sz w:val="24"/>
          <w:szCs w:val="24"/>
        </w:rPr>
        <w:t>Ferramentas utilizadas:</w:t>
      </w:r>
      <w:r w:rsidRPr="00013542">
        <w:rPr>
          <w:rFonts w:ascii="Arial" w:hAnsi="Arial" w:cs="Arial"/>
          <w:sz w:val="24"/>
          <w:szCs w:val="24"/>
        </w:rPr>
        <w:t xml:space="preserve"> Python </w:t>
      </w:r>
      <w:r w:rsidR="009407A5" w:rsidRPr="00013542">
        <w:rPr>
          <w:rFonts w:ascii="Arial" w:hAnsi="Arial" w:cs="Arial"/>
          <w:sz w:val="24"/>
          <w:szCs w:val="24"/>
        </w:rPr>
        <w:t>-</w:t>
      </w:r>
      <w:r w:rsidRPr="00013542">
        <w:rPr>
          <w:rFonts w:ascii="Arial" w:hAnsi="Arial" w:cs="Arial"/>
          <w:sz w:val="24"/>
          <w:szCs w:val="24"/>
        </w:rPr>
        <w:t xml:space="preserve"> Pandas </w:t>
      </w:r>
      <w:r w:rsidR="009407A5" w:rsidRPr="00013542">
        <w:rPr>
          <w:rFonts w:ascii="Arial" w:hAnsi="Arial" w:cs="Arial"/>
          <w:sz w:val="24"/>
          <w:szCs w:val="24"/>
        </w:rPr>
        <w:t>-</w:t>
      </w:r>
      <w:r w:rsidRPr="000135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542">
        <w:rPr>
          <w:rFonts w:ascii="Arial" w:hAnsi="Arial" w:cs="Arial"/>
          <w:sz w:val="24"/>
          <w:szCs w:val="24"/>
        </w:rPr>
        <w:t>NumPy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 </w:t>
      </w:r>
      <w:r w:rsidR="009407A5" w:rsidRPr="00013542">
        <w:rPr>
          <w:rFonts w:ascii="Arial" w:hAnsi="Arial" w:cs="Arial"/>
          <w:sz w:val="24"/>
          <w:szCs w:val="24"/>
        </w:rPr>
        <w:t>-</w:t>
      </w:r>
      <w:r w:rsidRPr="000135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07A5" w:rsidRPr="00013542">
        <w:rPr>
          <w:rFonts w:ascii="Arial" w:hAnsi="Arial" w:cs="Arial"/>
          <w:sz w:val="24"/>
          <w:szCs w:val="24"/>
        </w:rPr>
        <w:t>Scipy.Stats</w:t>
      </w:r>
      <w:proofErr w:type="spellEnd"/>
      <w:r w:rsidR="009407A5" w:rsidRPr="00013542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013542">
        <w:rPr>
          <w:rFonts w:ascii="Arial" w:hAnsi="Arial" w:cs="Arial"/>
          <w:sz w:val="24"/>
          <w:szCs w:val="24"/>
        </w:rPr>
        <w:t>Matplotlib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 </w:t>
      </w:r>
      <w:r w:rsidR="009407A5" w:rsidRPr="00013542">
        <w:rPr>
          <w:rFonts w:ascii="Arial" w:hAnsi="Arial" w:cs="Arial"/>
          <w:sz w:val="24"/>
          <w:szCs w:val="24"/>
        </w:rPr>
        <w:t>-</w:t>
      </w:r>
      <w:r w:rsidRPr="000135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542">
        <w:rPr>
          <w:rFonts w:ascii="Arial" w:hAnsi="Arial" w:cs="Arial"/>
          <w:sz w:val="24"/>
          <w:szCs w:val="24"/>
        </w:rPr>
        <w:t>Seaborn</w:t>
      </w:r>
      <w:proofErr w:type="spellEnd"/>
    </w:p>
    <w:p w14:paraId="5FD105DC" w14:textId="3BC4FCDA" w:rsidR="004E6AD7" w:rsidRPr="00013542" w:rsidRDefault="004E6AD7" w:rsidP="00A8127C">
      <w:pPr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b/>
          <w:bCs/>
          <w:sz w:val="24"/>
          <w:szCs w:val="24"/>
        </w:rPr>
        <w:t>Base de dados:</w:t>
      </w:r>
      <w:r w:rsidRPr="000135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542">
        <w:rPr>
          <w:rFonts w:ascii="Arial" w:hAnsi="Arial" w:cs="Arial"/>
          <w:sz w:val="24"/>
          <w:szCs w:val="24"/>
        </w:rPr>
        <w:t>Credit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 Risk </w:t>
      </w:r>
      <w:proofErr w:type="spellStart"/>
      <w:r w:rsidRPr="00013542">
        <w:rPr>
          <w:rFonts w:ascii="Arial" w:hAnsi="Arial" w:cs="Arial"/>
          <w:sz w:val="24"/>
          <w:szCs w:val="24"/>
        </w:rPr>
        <w:t>Dataset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 (32.581 registros)</w:t>
      </w:r>
      <w:r w:rsidR="00724AF9" w:rsidRPr="00013542">
        <w:rPr>
          <w:rFonts w:ascii="Arial" w:hAnsi="Arial" w:cs="Arial"/>
          <w:sz w:val="24"/>
          <w:szCs w:val="24"/>
        </w:rPr>
        <w:t xml:space="preserve"> - </w:t>
      </w:r>
      <w:proofErr w:type="spellStart"/>
      <w:r w:rsidR="00724AF9" w:rsidRPr="00013542">
        <w:rPr>
          <w:rFonts w:ascii="Arial" w:hAnsi="Arial" w:cs="Arial"/>
          <w:sz w:val="24"/>
          <w:szCs w:val="24"/>
        </w:rPr>
        <w:t>Kaggle</w:t>
      </w:r>
      <w:proofErr w:type="spellEnd"/>
    </w:p>
    <w:p w14:paraId="781F16FD" w14:textId="5717AC45" w:rsidR="004E6AD7" w:rsidRPr="00013542" w:rsidRDefault="004E6AD7" w:rsidP="00A8127C">
      <w:pPr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b/>
          <w:bCs/>
          <w:sz w:val="24"/>
          <w:szCs w:val="24"/>
        </w:rPr>
        <w:t>Data:</w:t>
      </w:r>
      <w:r w:rsidRPr="0001354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13542">
        <w:rPr>
          <w:rFonts w:ascii="Arial" w:hAnsi="Arial" w:cs="Arial"/>
          <w:sz w:val="24"/>
          <w:szCs w:val="24"/>
        </w:rPr>
        <w:t>Julho</w:t>
      </w:r>
      <w:proofErr w:type="gramEnd"/>
      <w:r w:rsidRPr="00013542">
        <w:rPr>
          <w:rFonts w:ascii="Arial" w:hAnsi="Arial" w:cs="Arial"/>
          <w:sz w:val="24"/>
          <w:szCs w:val="24"/>
        </w:rPr>
        <w:t xml:space="preserve"> de 2026</w:t>
      </w:r>
      <w:r w:rsidRPr="00013542">
        <w:rPr>
          <w:rFonts w:ascii="Arial" w:hAnsi="Arial" w:cs="Arial"/>
          <w:sz w:val="24"/>
          <w:szCs w:val="24"/>
        </w:rPr>
        <w:br w:type="page"/>
      </w:r>
    </w:p>
    <w:p w14:paraId="6B8E1DB4" w14:textId="6FF55D2E" w:rsidR="00296F3E" w:rsidRPr="008A6271" w:rsidRDefault="00296F3E" w:rsidP="0064569F">
      <w:pPr>
        <w:pStyle w:val="Ttulo2"/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8A6271">
        <w:rPr>
          <w:rFonts w:ascii="Arial" w:hAnsi="Arial" w:cs="Arial"/>
          <w:b/>
          <w:bCs/>
          <w:sz w:val="30"/>
          <w:szCs w:val="30"/>
        </w:rPr>
        <w:lastRenderedPageBreak/>
        <w:t>Resumo Executivo</w:t>
      </w:r>
    </w:p>
    <w:p w14:paraId="45E24B3C" w14:textId="77777777" w:rsidR="00173DC5" w:rsidRPr="008A6271" w:rsidRDefault="00173DC5" w:rsidP="00173DC5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147A3C1E" w14:textId="231C8108" w:rsidR="00C35E23" w:rsidRPr="00013542" w:rsidRDefault="00C35E23" w:rsidP="00173DC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sz w:val="24"/>
          <w:szCs w:val="24"/>
        </w:rPr>
        <w:t xml:space="preserve">Este relatório apresenta uma Análise Exploratória de Dados (EDA) da carteira de crédito de varejo do </w:t>
      </w:r>
      <w:proofErr w:type="spellStart"/>
      <w:r w:rsidRPr="00013542">
        <w:rPr>
          <w:rFonts w:ascii="Arial" w:hAnsi="Arial" w:cs="Arial"/>
          <w:sz w:val="24"/>
          <w:szCs w:val="24"/>
        </w:rPr>
        <w:t>ApexBank</w:t>
      </w:r>
      <w:proofErr w:type="spellEnd"/>
      <w:r w:rsidRPr="00013542">
        <w:rPr>
          <w:rFonts w:ascii="Arial" w:hAnsi="Arial" w:cs="Arial"/>
          <w:sz w:val="24"/>
          <w:szCs w:val="24"/>
        </w:rPr>
        <w:t>, com o objetivo de identificar quais fatores estão estatisticamente associados à inadimplência (</w:t>
      </w:r>
      <w:proofErr w:type="spellStart"/>
      <w:r w:rsidRPr="00013542">
        <w:rPr>
          <w:rFonts w:ascii="Arial" w:hAnsi="Arial" w:cs="Arial"/>
          <w:sz w:val="24"/>
          <w:szCs w:val="24"/>
        </w:rPr>
        <w:t>loan_status</w:t>
      </w:r>
      <w:proofErr w:type="spellEnd"/>
      <w:r w:rsidRPr="00013542">
        <w:rPr>
          <w:rFonts w:ascii="Arial" w:hAnsi="Arial" w:cs="Arial"/>
          <w:sz w:val="24"/>
          <w:szCs w:val="24"/>
        </w:rPr>
        <w:t>). O estudo é descritivo</w:t>
      </w:r>
      <w:r w:rsidR="00794D2D" w:rsidRPr="00013542">
        <w:rPr>
          <w:rFonts w:ascii="Arial" w:hAnsi="Arial" w:cs="Arial"/>
          <w:sz w:val="24"/>
          <w:szCs w:val="24"/>
        </w:rPr>
        <w:t xml:space="preserve">, </w:t>
      </w:r>
      <w:r w:rsidRPr="00013542">
        <w:rPr>
          <w:rFonts w:ascii="Arial" w:hAnsi="Arial" w:cs="Arial"/>
          <w:sz w:val="24"/>
          <w:szCs w:val="24"/>
        </w:rPr>
        <w:t xml:space="preserve">correlacional </w:t>
      </w:r>
      <w:r w:rsidR="009D6977" w:rsidRPr="00013542">
        <w:rPr>
          <w:rFonts w:ascii="Arial" w:hAnsi="Arial" w:cs="Arial"/>
          <w:sz w:val="24"/>
          <w:szCs w:val="24"/>
        </w:rPr>
        <w:t>(</w:t>
      </w:r>
      <w:r w:rsidRPr="00013542">
        <w:rPr>
          <w:rFonts w:ascii="Arial" w:hAnsi="Arial" w:cs="Arial"/>
          <w:sz w:val="24"/>
          <w:szCs w:val="24"/>
        </w:rPr>
        <w:t>não estabelece causalidade</w:t>
      </w:r>
      <w:r w:rsidR="009D6977" w:rsidRPr="00013542">
        <w:rPr>
          <w:rFonts w:ascii="Arial" w:hAnsi="Arial" w:cs="Arial"/>
          <w:sz w:val="24"/>
          <w:szCs w:val="24"/>
        </w:rPr>
        <w:t>)</w:t>
      </w:r>
      <w:r w:rsidR="00794D2D" w:rsidRPr="00013542">
        <w:rPr>
          <w:rFonts w:ascii="Arial" w:hAnsi="Arial" w:cs="Arial"/>
          <w:sz w:val="24"/>
          <w:szCs w:val="24"/>
        </w:rPr>
        <w:t xml:space="preserve"> </w:t>
      </w:r>
      <w:r w:rsidRPr="00013542">
        <w:rPr>
          <w:rFonts w:ascii="Arial" w:hAnsi="Arial" w:cs="Arial"/>
          <w:sz w:val="24"/>
          <w:szCs w:val="24"/>
        </w:rPr>
        <w:t>e serve como etapa preparatória para o desenvolvimento futuro de modelos preditivos de risco.</w:t>
      </w:r>
    </w:p>
    <w:p w14:paraId="4C7914CF" w14:textId="77777777" w:rsidR="003C4A02" w:rsidRPr="00013542" w:rsidRDefault="00C35E23" w:rsidP="00173DC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sz w:val="24"/>
          <w:szCs w:val="24"/>
        </w:rPr>
        <w:t xml:space="preserve">A base original continha 32.581 operações de crédito de varejo, com atributos demográficos, contratuais e de histórico em </w:t>
      </w:r>
      <w:proofErr w:type="spellStart"/>
      <w:r w:rsidRPr="00013542">
        <w:rPr>
          <w:rFonts w:ascii="Arial" w:hAnsi="Arial" w:cs="Arial"/>
          <w:sz w:val="24"/>
          <w:szCs w:val="24"/>
        </w:rPr>
        <w:t>bureaus</w:t>
      </w:r>
      <w:proofErr w:type="spellEnd"/>
      <w:r w:rsidRPr="00013542">
        <w:rPr>
          <w:rFonts w:ascii="Arial" w:hAnsi="Arial" w:cs="Arial"/>
          <w:sz w:val="24"/>
          <w:szCs w:val="24"/>
        </w:rPr>
        <w:t>. Após a etapa de governança e limpeza (remoção de duplicidades e de inconsistências cadastrais), a base analítica final ficou com 32.409 registros (descarte de 0,53%).</w:t>
      </w:r>
    </w:p>
    <w:p w14:paraId="58A22028" w14:textId="77777777" w:rsidR="003C4A02" w:rsidRPr="00013542" w:rsidRDefault="003C4A02" w:rsidP="003C4A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C0E9A6" w14:textId="5C2027C2" w:rsidR="003C4A02" w:rsidRPr="00013542" w:rsidRDefault="003C4A02" w:rsidP="003C4A0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13542">
        <w:rPr>
          <w:rFonts w:ascii="Arial" w:hAnsi="Arial" w:cs="Arial"/>
          <w:b/>
          <w:bCs/>
          <w:sz w:val="24"/>
          <w:szCs w:val="24"/>
        </w:rPr>
        <w:t>Principais achados</w:t>
      </w:r>
    </w:p>
    <w:p w14:paraId="5F509EE1" w14:textId="33D87BB0" w:rsidR="0064569F" w:rsidRPr="00013542" w:rsidRDefault="0064569F" w:rsidP="0064569F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sz w:val="24"/>
          <w:szCs w:val="24"/>
        </w:rPr>
        <w:t>Comprometimento de renda (DTI): variável com maior poder discriminatório do estudo. Acima do limiar de 30%, a taxa de inadimplência salta de 15,4% para 70,4% (</w:t>
      </w:r>
      <w:proofErr w:type="spellStart"/>
      <w:r w:rsidRPr="00013542">
        <w:rPr>
          <w:rFonts w:ascii="Arial" w:hAnsi="Arial" w:cs="Arial"/>
          <w:sz w:val="24"/>
          <w:szCs w:val="24"/>
        </w:rPr>
        <w:t>Qui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-quadrado = 5.969,05; p &lt; 0,001; V de </w:t>
      </w:r>
      <w:proofErr w:type="spellStart"/>
      <w:r w:rsidRPr="00013542">
        <w:rPr>
          <w:rFonts w:ascii="Arial" w:hAnsi="Arial" w:cs="Arial"/>
          <w:sz w:val="24"/>
          <w:szCs w:val="24"/>
        </w:rPr>
        <w:t>Cramér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 = 0,43 </w:t>
      </w:r>
      <w:r w:rsidR="00A054C0" w:rsidRPr="00013542">
        <w:rPr>
          <w:rFonts w:ascii="Arial" w:hAnsi="Arial" w:cs="Arial"/>
          <w:sz w:val="24"/>
          <w:szCs w:val="24"/>
        </w:rPr>
        <w:t>-</w:t>
      </w:r>
      <w:r w:rsidRPr="00013542">
        <w:rPr>
          <w:rFonts w:ascii="Arial" w:hAnsi="Arial" w:cs="Arial"/>
          <w:sz w:val="24"/>
          <w:szCs w:val="24"/>
        </w:rPr>
        <w:t xml:space="preserve"> efeito forte).</w:t>
      </w:r>
    </w:p>
    <w:p w14:paraId="32EBFFD2" w14:textId="7F6D92B1" w:rsidR="0064569F" w:rsidRPr="00013542" w:rsidRDefault="0064569F" w:rsidP="0064569F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sz w:val="24"/>
          <w:szCs w:val="24"/>
        </w:rPr>
        <w:t xml:space="preserve">Renda bruta e idade, isoladamente, têm baixo poder discriminatório (efeito de Rosenthal r = 0,27 e sobreposição interquartílica quase total, respectivamente) </w:t>
      </w:r>
      <w:r w:rsidR="00F67567" w:rsidRPr="00013542">
        <w:rPr>
          <w:rFonts w:ascii="Arial" w:hAnsi="Arial" w:cs="Arial"/>
          <w:sz w:val="24"/>
          <w:szCs w:val="24"/>
        </w:rPr>
        <w:t>-</w:t>
      </w:r>
      <w:r w:rsidRPr="00013542">
        <w:rPr>
          <w:rFonts w:ascii="Arial" w:hAnsi="Arial" w:cs="Arial"/>
          <w:sz w:val="24"/>
          <w:szCs w:val="24"/>
        </w:rPr>
        <w:t xml:space="preserve"> não devem ser usadas como réguas de corte lineares.</w:t>
      </w:r>
    </w:p>
    <w:p w14:paraId="22C1EC37" w14:textId="77777777" w:rsidR="0064569F" w:rsidRPr="00013542" w:rsidRDefault="0064569F" w:rsidP="0064569F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sz w:val="24"/>
          <w:szCs w:val="24"/>
        </w:rPr>
        <w:t>O grau de risco interno (</w:t>
      </w:r>
      <w:proofErr w:type="spellStart"/>
      <w:r w:rsidRPr="00013542">
        <w:rPr>
          <w:rFonts w:ascii="Arial" w:hAnsi="Arial" w:cs="Arial"/>
          <w:sz w:val="24"/>
          <w:szCs w:val="24"/>
        </w:rPr>
        <w:t>loan_grade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) está bem calibrado (9,96% de default no Grau A </w:t>
      </w:r>
      <w:proofErr w:type="spellStart"/>
      <w:r w:rsidRPr="00013542">
        <w:rPr>
          <w:rFonts w:ascii="Arial" w:hAnsi="Arial" w:cs="Arial"/>
          <w:sz w:val="24"/>
          <w:szCs w:val="24"/>
        </w:rPr>
        <w:t>a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 98,44% no Grau G), mas concentra risco severo (&gt; 50%) a partir do Grau D.</w:t>
      </w:r>
    </w:p>
    <w:p w14:paraId="048FB40E" w14:textId="77777777" w:rsidR="0064569F" w:rsidRPr="00013542" w:rsidRDefault="0064569F" w:rsidP="0064569F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sz w:val="24"/>
          <w:szCs w:val="24"/>
        </w:rPr>
        <w:t>Tipo de moradia e histórico de restrição em bureau são fortes sinalizadores cadastrais: locatários (31,6%) versus proprietários (7,5%); clientes com restrição prévia (37,9%) versus sem restrição (18,4%).</w:t>
      </w:r>
    </w:p>
    <w:p w14:paraId="17FB27CC" w14:textId="77777777" w:rsidR="0064569F" w:rsidRPr="00013542" w:rsidRDefault="0064569F" w:rsidP="0064569F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sz w:val="24"/>
          <w:szCs w:val="24"/>
        </w:rPr>
        <w:t>O cruzamento entre faixa etária e finalidade do crédito revela bolsões de risco relevantes, mas o segmento de maior severidade (clientes acima de 50 anos) tem baixa representatividade amostral (N entre 17 e 136 por célula), exigindo cautela na leitura desses percentuais.</w:t>
      </w:r>
    </w:p>
    <w:p w14:paraId="2B973079" w14:textId="64AD0507" w:rsidR="004E6AD7" w:rsidRPr="00013542" w:rsidRDefault="0064569F" w:rsidP="00013542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013542">
        <w:rPr>
          <w:rFonts w:ascii="Arial" w:hAnsi="Arial" w:cs="Arial"/>
          <w:sz w:val="24"/>
          <w:szCs w:val="24"/>
        </w:rPr>
        <w:lastRenderedPageBreak/>
        <w:t>Estas evidências sustentam a substituição de réguas de corte lineares (idade, renda) por regras multivariadas ancoradas em DTI, grau de risco e finalidade do crédito, e apontam para modelos baseados em árvores de decisão (</w:t>
      </w:r>
      <w:proofErr w:type="spellStart"/>
      <w:r w:rsidRPr="00013542">
        <w:rPr>
          <w:rFonts w:ascii="Arial" w:hAnsi="Arial" w:cs="Arial"/>
          <w:sz w:val="24"/>
          <w:szCs w:val="24"/>
        </w:rPr>
        <w:t>XGBoost</w:t>
      </w:r>
      <w:proofErr w:type="spellEnd"/>
      <w:r w:rsidRPr="0001354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13542">
        <w:rPr>
          <w:rFonts w:ascii="Arial" w:hAnsi="Arial" w:cs="Arial"/>
          <w:sz w:val="24"/>
          <w:szCs w:val="24"/>
        </w:rPr>
        <w:t>LightGBM</w:t>
      </w:r>
      <w:proofErr w:type="spellEnd"/>
      <w:r w:rsidRPr="00013542">
        <w:rPr>
          <w:rFonts w:ascii="Arial" w:hAnsi="Arial" w:cs="Arial"/>
          <w:sz w:val="24"/>
          <w:szCs w:val="24"/>
        </w:rPr>
        <w:t>) como próxima etapa natural do projeto.</w:t>
      </w:r>
      <w:r w:rsidR="004E6AD7" w:rsidRPr="00013542">
        <w:rPr>
          <w:rFonts w:ascii="Arial" w:hAnsi="Arial" w:cs="Arial"/>
          <w:sz w:val="24"/>
          <w:szCs w:val="24"/>
        </w:rPr>
        <w:br w:type="page"/>
      </w:r>
    </w:p>
    <w:p w14:paraId="76492F3F" w14:textId="77777777" w:rsidR="00754D05" w:rsidRPr="00013542" w:rsidRDefault="00754D05" w:rsidP="003C4A02">
      <w:pPr>
        <w:pStyle w:val="Ttulo2"/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  <w:r w:rsidRPr="00013542">
        <w:rPr>
          <w:rFonts w:ascii="Arial" w:hAnsi="Arial" w:cs="Arial"/>
          <w:b/>
          <w:bCs/>
          <w:sz w:val="30"/>
          <w:szCs w:val="30"/>
        </w:rPr>
        <w:lastRenderedPageBreak/>
        <w:t>Introdução</w:t>
      </w:r>
    </w:p>
    <w:p w14:paraId="70A670AE" w14:textId="77777777" w:rsidR="00754D05" w:rsidRPr="00613C07" w:rsidRDefault="00754D05" w:rsidP="00754D0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58BFC1" w14:textId="43728A0D" w:rsidR="00274D75" w:rsidRPr="00274D75" w:rsidRDefault="00274D75" w:rsidP="00173DC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74D75">
        <w:rPr>
          <w:rFonts w:ascii="Arial" w:hAnsi="Arial" w:cs="Arial"/>
          <w:sz w:val="24"/>
          <w:szCs w:val="24"/>
        </w:rPr>
        <w:t xml:space="preserve">A concessão de crédito é uma das principais fontes de receita das instituições financeiras, mas está sujeita ao risco de contraparte </w:t>
      </w:r>
      <w:r w:rsidR="00114A9B">
        <w:rPr>
          <w:rFonts w:ascii="Arial" w:hAnsi="Arial" w:cs="Arial"/>
          <w:sz w:val="24"/>
          <w:szCs w:val="24"/>
        </w:rPr>
        <w:t>(</w:t>
      </w:r>
      <w:r w:rsidRPr="00274D75">
        <w:rPr>
          <w:rFonts w:ascii="Arial" w:hAnsi="Arial" w:cs="Arial"/>
          <w:sz w:val="24"/>
          <w:szCs w:val="24"/>
        </w:rPr>
        <w:t>a possibilidade de o tomador não honrar o fluxo de pagamento pactuado</w:t>
      </w:r>
      <w:r w:rsidR="00114A9B">
        <w:rPr>
          <w:rFonts w:ascii="Arial" w:hAnsi="Arial" w:cs="Arial"/>
          <w:sz w:val="24"/>
          <w:szCs w:val="24"/>
        </w:rPr>
        <w:t>)</w:t>
      </w:r>
      <w:r w:rsidRPr="00274D75">
        <w:rPr>
          <w:rFonts w:ascii="Arial" w:hAnsi="Arial" w:cs="Arial"/>
          <w:sz w:val="24"/>
          <w:szCs w:val="24"/>
        </w:rPr>
        <w:t xml:space="preserve">. Compreender estatisticamente os fatores associados a esse risco permite que o </w:t>
      </w:r>
      <w:proofErr w:type="spellStart"/>
      <w:r w:rsidRPr="00274D75">
        <w:rPr>
          <w:rFonts w:ascii="Arial" w:hAnsi="Arial" w:cs="Arial"/>
          <w:sz w:val="24"/>
          <w:szCs w:val="24"/>
        </w:rPr>
        <w:t>ApexBank</w:t>
      </w:r>
      <w:proofErr w:type="spellEnd"/>
      <w:r w:rsidRPr="00274D75">
        <w:rPr>
          <w:rFonts w:ascii="Arial" w:hAnsi="Arial" w:cs="Arial"/>
          <w:sz w:val="24"/>
          <w:szCs w:val="24"/>
        </w:rPr>
        <w:t xml:space="preserve"> substitua critérios empíricos e lineares de concessão por políticas orientadas por dados.</w:t>
      </w:r>
    </w:p>
    <w:p w14:paraId="2FC147D3" w14:textId="77777777" w:rsidR="00274D75" w:rsidRPr="00274D75" w:rsidRDefault="00274D75" w:rsidP="00173DC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74D75">
        <w:rPr>
          <w:rFonts w:ascii="Arial" w:hAnsi="Arial" w:cs="Arial"/>
          <w:sz w:val="24"/>
          <w:szCs w:val="24"/>
        </w:rPr>
        <w:t xml:space="preserve">Este estudo utiliza o </w:t>
      </w:r>
      <w:proofErr w:type="spellStart"/>
      <w:r w:rsidRPr="00274D75">
        <w:rPr>
          <w:rFonts w:ascii="Arial" w:hAnsi="Arial" w:cs="Arial"/>
          <w:sz w:val="24"/>
          <w:szCs w:val="24"/>
        </w:rPr>
        <w:t>Credit</w:t>
      </w:r>
      <w:proofErr w:type="spellEnd"/>
      <w:r w:rsidRPr="00274D75">
        <w:rPr>
          <w:rFonts w:ascii="Arial" w:hAnsi="Arial" w:cs="Arial"/>
          <w:sz w:val="24"/>
          <w:szCs w:val="24"/>
        </w:rPr>
        <w:t xml:space="preserve"> Risk </w:t>
      </w:r>
      <w:proofErr w:type="spellStart"/>
      <w:r w:rsidRPr="00274D75">
        <w:rPr>
          <w:rFonts w:ascii="Arial" w:hAnsi="Arial" w:cs="Arial"/>
          <w:sz w:val="24"/>
          <w:szCs w:val="24"/>
        </w:rPr>
        <w:t>Dataset</w:t>
      </w:r>
      <w:proofErr w:type="spellEnd"/>
      <w:r w:rsidRPr="00274D75">
        <w:rPr>
          <w:rFonts w:ascii="Arial" w:hAnsi="Arial" w:cs="Arial"/>
          <w:sz w:val="24"/>
          <w:szCs w:val="24"/>
        </w:rPr>
        <w:t xml:space="preserve"> (32.581 registros de solicitações de financiamento de varejo, disponível publicamente na plataforma </w:t>
      </w:r>
      <w:proofErr w:type="spellStart"/>
      <w:r w:rsidRPr="00274D75">
        <w:rPr>
          <w:rFonts w:ascii="Arial" w:hAnsi="Arial" w:cs="Arial"/>
          <w:sz w:val="24"/>
          <w:szCs w:val="24"/>
        </w:rPr>
        <w:t>Kaggle</w:t>
      </w:r>
      <w:proofErr w:type="spellEnd"/>
      <w:r w:rsidRPr="00274D75">
        <w:rPr>
          <w:rFonts w:ascii="Arial" w:hAnsi="Arial" w:cs="Arial"/>
          <w:sz w:val="24"/>
          <w:szCs w:val="24"/>
        </w:rPr>
        <w:t>) para isolar, quantificar e ordenar os fatores associados ao default no portfólio. O objetivo é fornecer subsídio analítico para o desenho de regras de subscrição, precificação por risco (</w:t>
      </w:r>
      <w:proofErr w:type="spellStart"/>
      <w:r w:rsidRPr="00274D75">
        <w:rPr>
          <w:rFonts w:ascii="Arial" w:hAnsi="Arial" w:cs="Arial"/>
          <w:sz w:val="24"/>
          <w:szCs w:val="24"/>
        </w:rPr>
        <w:t>risk-based</w:t>
      </w:r>
      <w:proofErr w:type="spellEnd"/>
      <w:r w:rsidRPr="00274D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4D75">
        <w:rPr>
          <w:rFonts w:ascii="Arial" w:hAnsi="Arial" w:cs="Arial"/>
          <w:sz w:val="24"/>
          <w:szCs w:val="24"/>
        </w:rPr>
        <w:t>pricing</w:t>
      </w:r>
      <w:proofErr w:type="spellEnd"/>
      <w:r w:rsidRPr="00274D75">
        <w:rPr>
          <w:rFonts w:ascii="Arial" w:hAnsi="Arial" w:cs="Arial"/>
          <w:sz w:val="24"/>
          <w:szCs w:val="24"/>
        </w:rPr>
        <w:t>) e priorização de variáveis para a futura modelagem preditiva.</w:t>
      </w:r>
    </w:p>
    <w:p w14:paraId="7CB5FE64" w14:textId="5A033A54" w:rsidR="003C3FA8" w:rsidRDefault="00274D75" w:rsidP="00173DC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74D75">
        <w:rPr>
          <w:rFonts w:ascii="Arial" w:hAnsi="Arial" w:cs="Arial"/>
          <w:sz w:val="24"/>
          <w:szCs w:val="24"/>
        </w:rPr>
        <w:t xml:space="preserve">O relatório está organizado da seguinte forma: descreve a base de dados e a metodologia de limpeza e teste estatístico; apresenta as limitações do estudo; traz a análise exploratória variável a variável, do panorama geral às interações bivariadas; sintetiza os achados e recomendações; </w:t>
      </w:r>
      <w:r w:rsidR="00EF0D3A">
        <w:rPr>
          <w:rFonts w:ascii="Arial" w:hAnsi="Arial" w:cs="Arial"/>
          <w:sz w:val="24"/>
          <w:szCs w:val="24"/>
        </w:rPr>
        <w:t xml:space="preserve">por fim, </w:t>
      </w:r>
      <w:r w:rsidRPr="00274D75">
        <w:rPr>
          <w:rFonts w:ascii="Arial" w:hAnsi="Arial" w:cs="Arial"/>
          <w:sz w:val="24"/>
          <w:szCs w:val="24"/>
        </w:rPr>
        <w:t>conclui com os próximos passos do projeto.</w:t>
      </w:r>
    </w:p>
    <w:p w14:paraId="66463FE8" w14:textId="77777777" w:rsidR="003C3FA8" w:rsidRDefault="003C3FA8" w:rsidP="003C3FA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2997E1" w14:textId="6CED4A3F" w:rsidR="003C3FA8" w:rsidRDefault="003C3FA8" w:rsidP="003C3F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C3FA8">
        <w:rPr>
          <w:rFonts w:ascii="Arial" w:hAnsi="Arial" w:cs="Arial"/>
          <w:b/>
          <w:bCs/>
          <w:sz w:val="24"/>
          <w:szCs w:val="24"/>
        </w:rPr>
        <w:t>Fonte de Dados e Metodologia</w:t>
      </w:r>
    </w:p>
    <w:p w14:paraId="773368DB" w14:textId="77777777" w:rsidR="000E3BE3" w:rsidRDefault="00AB2229" w:rsidP="000E3BE3">
      <w:pPr>
        <w:keepNext/>
        <w:spacing w:line="360" w:lineRule="auto"/>
        <w:jc w:val="both"/>
      </w:pPr>
      <w:r w:rsidRPr="00AB222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5F67A1D" wp14:editId="61ABEFA3">
            <wp:extent cx="5400040" cy="1956435"/>
            <wp:effectExtent l="0" t="0" r="0" b="5715"/>
            <wp:docPr id="513524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24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2F16" w14:textId="68D56EA1" w:rsidR="00AB2229" w:rsidRPr="003C3FA8" w:rsidRDefault="000E3BE3" w:rsidP="000E3BE3">
      <w:pPr>
        <w:pStyle w:val="Legenda"/>
        <w:jc w:val="center"/>
        <w:rPr>
          <w:rFonts w:ascii="Arial" w:hAnsi="Arial" w:cs="Arial"/>
          <w:b/>
          <w:bCs/>
          <w:sz w:val="24"/>
          <w:szCs w:val="24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</w:t>
      </w:r>
      <w:r w:rsidRPr="003B7FB5">
        <w:t xml:space="preserve"> Visão geral do pipeline de preparação dos dados.</w:t>
      </w:r>
    </w:p>
    <w:p w14:paraId="1B47F8CF" w14:textId="77777777" w:rsidR="00537B97" w:rsidRPr="00537B97" w:rsidRDefault="00537B97" w:rsidP="00173DC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537B97">
        <w:rPr>
          <w:rFonts w:ascii="Arial" w:hAnsi="Arial" w:cs="Arial"/>
          <w:sz w:val="24"/>
          <w:szCs w:val="24"/>
        </w:rPr>
        <w:lastRenderedPageBreak/>
        <w:t>A base original apresentava registros duplicados, inconsistências cadastrais e valores ausentes. O pipeline de preparação seguiu as etapas abaixo, nesta ordem:</w:t>
      </w:r>
    </w:p>
    <w:p w14:paraId="3320EF8C" w14:textId="77777777" w:rsidR="00537B97" w:rsidRPr="00537B97" w:rsidRDefault="00537B97" w:rsidP="00537B97">
      <w:pPr>
        <w:pStyle w:val="Pargrafoda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37B97">
        <w:rPr>
          <w:rFonts w:ascii="Arial" w:hAnsi="Arial" w:cs="Arial"/>
          <w:sz w:val="24"/>
          <w:szCs w:val="24"/>
        </w:rPr>
        <w:t>Remoção de 165 registros duplicados.</w:t>
      </w:r>
    </w:p>
    <w:p w14:paraId="1192993E" w14:textId="77777777" w:rsidR="00537B97" w:rsidRPr="00537B97" w:rsidRDefault="00537B97" w:rsidP="00537B97">
      <w:pPr>
        <w:pStyle w:val="Pargrafoda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37B97">
        <w:rPr>
          <w:rFonts w:ascii="Arial" w:hAnsi="Arial" w:cs="Arial"/>
          <w:sz w:val="24"/>
          <w:szCs w:val="24"/>
        </w:rPr>
        <w:t>Imputação de valores ausentes antes da aplicação de regras de consistência, para preservar registros potencialmente válidos: taxa de juros ausente (≈ 9,5% da base) imputada pela mediana por Grau de Risco (</w:t>
      </w:r>
      <w:proofErr w:type="spellStart"/>
      <w:r w:rsidRPr="00537B97">
        <w:rPr>
          <w:rFonts w:ascii="Arial" w:hAnsi="Arial" w:cs="Arial"/>
          <w:sz w:val="24"/>
          <w:szCs w:val="24"/>
        </w:rPr>
        <w:t>loan_grade</w:t>
      </w:r>
      <w:proofErr w:type="spellEnd"/>
      <w:r w:rsidRPr="00537B97">
        <w:rPr>
          <w:rFonts w:ascii="Arial" w:hAnsi="Arial" w:cs="Arial"/>
          <w:sz w:val="24"/>
          <w:szCs w:val="24"/>
        </w:rPr>
        <w:t>); tempo de emprego ausente imputado pela mediana global.</w:t>
      </w:r>
    </w:p>
    <w:p w14:paraId="400D88A9" w14:textId="77777777" w:rsidR="00537B97" w:rsidRPr="00537B97" w:rsidRDefault="00537B97" w:rsidP="00537B97">
      <w:pPr>
        <w:pStyle w:val="Pargrafoda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37B97">
        <w:rPr>
          <w:rFonts w:ascii="Arial" w:hAnsi="Arial" w:cs="Arial"/>
          <w:sz w:val="24"/>
          <w:szCs w:val="24"/>
        </w:rPr>
        <w:t>Remoção de 7 registros com inconsistências lógicas graves (idade acima de 100 anos; tempo de emprego incompatível com a idade, considerando 14 anos como início mínimo da vida laboral).</w:t>
      </w:r>
    </w:p>
    <w:p w14:paraId="62408A84" w14:textId="77777777" w:rsidR="00537B97" w:rsidRPr="00537B97" w:rsidRDefault="00537B97" w:rsidP="00537B97">
      <w:pPr>
        <w:pStyle w:val="Pargrafoda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37B97">
        <w:rPr>
          <w:rFonts w:ascii="Arial" w:hAnsi="Arial" w:cs="Arial"/>
          <w:sz w:val="24"/>
          <w:szCs w:val="24"/>
        </w:rPr>
        <w:t xml:space="preserve">Engenharia de atributos: criação de faixas categóricas de idade e tempo de emprego, e da variável de </w:t>
      </w:r>
      <w:proofErr w:type="spellStart"/>
      <w:r w:rsidRPr="00537B97">
        <w:rPr>
          <w:rFonts w:ascii="Arial" w:hAnsi="Arial" w:cs="Arial"/>
          <w:sz w:val="24"/>
          <w:szCs w:val="24"/>
        </w:rPr>
        <w:t>Debt</w:t>
      </w:r>
      <w:proofErr w:type="spellEnd"/>
      <w:r w:rsidRPr="00537B97">
        <w:rPr>
          <w:rFonts w:ascii="Arial" w:hAnsi="Arial" w:cs="Arial"/>
          <w:sz w:val="24"/>
          <w:szCs w:val="24"/>
        </w:rPr>
        <w:t>-</w:t>
      </w:r>
      <w:proofErr w:type="spellStart"/>
      <w:r w:rsidRPr="00537B97">
        <w:rPr>
          <w:rFonts w:ascii="Arial" w:hAnsi="Arial" w:cs="Arial"/>
          <w:sz w:val="24"/>
          <w:szCs w:val="24"/>
        </w:rPr>
        <w:t>to</w:t>
      </w:r>
      <w:proofErr w:type="spellEnd"/>
      <w:r w:rsidRPr="00537B97">
        <w:rPr>
          <w:rFonts w:ascii="Arial" w:hAnsi="Arial" w:cs="Arial"/>
          <w:sz w:val="24"/>
          <w:szCs w:val="24"/>
        </w:rPr>
        <w:t>-Income (DTI) com limiar de alerta em 30% de comprometimento de renda.</w:t>
      </w:r>
    </w:p>
    <w:p w14:paraId="610EE2F6" w14:textId="77777777" w:rsidR="00537B97" w:rsidRPr="00537B97" w:rsidRDefault="00537B97" w:rsidP="00173DC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537B97">
        <w:rPr>
          <w:rFonts w:ascii="Arial" w:hAnsi="Arial" w:cs="Arial"/>
          <w:sz w:val="24"/>
          <w:szCs w:val="24"/>
        </w:rPr>
        <w:t>Ao final, a base analítica ficou com 32.409 registros (descarte de 172 registros, 0,53% do volume original).</w:t>
      </w:r>
    </w:p>
    <w:p w14:paraId="5011A6F4" w14:textId="77777777" w:rsidR="00AF113F" w:rsidRDefault="00AF113F" w:rsidP="00E95FC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567A84" w14:textId="77777777" w:rsidR="00E95FC9" w:rsidRPr="00E95FC9" w:rsidRDefault="00E95FC9" w:rsidP="00E95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95FC9">
        <w:rPr>
          <w:rFonts w:ascii="Arial" w:hAnsi="Arial" w:cs="Arial"/>
          <w:b/>
          <w:bCs/>
          <w:sz w:val="24"/>
          <w:szCs w:val="24"/>
        </w:rPr>
        <w:t>Testes estatísticos e critério de significância</w:t>
      </w:r>
    </w:p>
    <w:p w14:paraId="06A708B3" w14:textId="77777777" w:rsidR="00E95FC9" w:rsidRPr="00E95FC9" w:rsidRDefault="00E95FC9" w:rsidP="00173DC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95FC9">
        <w:rPr>
          <w:rFonts w:ascii="Arial" w:hAnsi="Arial" w:cs="Arial"/>
          <w:sz w:val="24"/>
          <w:szCs w:val="24"/>
        </w:rPr>
        <w:t xml:space="preserve">Para comparar variáveis contínuas entre os grupos adimplente/inadimplente, utilizou-se o teste não paramétrico de Mann-Whitney U, acompanhado do coeficiente r de Rosenthal como medida de tamanho de efeito. Para variáveis categóricas, aplicou-se o teste </w:t>
      </w:r>
      <w:proofErr w:type="spellStart"/>
      <w:r w:rsidRPr="00E95FC9">
        <w:rPr>
          <w:rFonts w:ascii="Arial" w:hAnsi="Arial" w:cs="Arial"/>
          <w:sz w:val="24"/>
          <w:szCs w:val="24"/>
        </w:rPr>
        <w:t>Qui</w:t>
      </w:r>
      <w:proofErr w:type="spellEnd"/>
      <w:r w:rsidRPr="00E95FC9">
        <w:rPr>
          <w:rFonts w:ascii="Arial" w:hAnsi="Arial" w:cs="Arial"/>
          <w:sz w:val="24"/>
          <w:szCs w:val="24"/>
        </w:rPr>
        <w:t xml:space="preserve">-quadrado de independência com o V de </w:t>
      </w:r>
      <w:proofErr w:type="spellStart"/>
      <w:r w:rsidRPr="00E95FC9">
        <w:rPr>
          <w:rFonts w:ascii="Arial" w:hAnsi="Arial" w:cs="Arial"/>
          <w:sz w:val="24"/>
          <w:szCs w:val="24"/>
        </w:rPr>
        <w:t>Cramér</w:t>
      </w:r>
      <w:proofErr w:type="spellEnd"/>
      <w:r w:rsidRPr="00E95FC9">
        <w:rPr>
          <w:rFonts w:ascii="Arial" w:hAnsi="Arial" w:cs="Arial"/>
          <w:sz w:val="24"/>
          <w:szCs w:val="24"/>
        </w:rPr>
        <w:t xml:space="preserve"> como medida de força de associação. Proporções pontuais foram acompanhadas de intervalos de confiança de 95% pelo método de Wilson, mais robusto que a aproximação normal em amostras pequenas ou proporções próximas dos extremos.</w:t>
      </w:r>
    </w:p>
    <w:p w14:paraId="5105807C" w14:textId="77777777" w:rsidR="00E95FC9" w:rsidRPr="00E95FC9" w:rsidRDefault="00E95FC9" w:rsidP="00173DC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95FC9">
        <w:rPr>
          <w:rFonts w:ascii="Arial" w:hAnsi="Arial" w:cs="Arial"/>
          <w:sz w:val="24"/>
          <w:szCs w:val="24"/>
        </w:rPr>
        <w:t xml:space="preserve">Como múltiplas hipóteses foram testadas sobre a mesma base, aplicou-se a correção de </w:t>
      </w:r>
      <w:proofErr w:type="spellStart"/>
      <w:r w:rsidRPr="00E95FC9">
        <w:rPr>
          <w:rFonts w:ascii="Arial" w:hAnsi="Arial" w:cs="Arial"/>
          <w:sz w:val="24"/>
          <w:szCs w:val="24"/>
        </w:rPr>
        <w:t>Bonferroni</w:t>
      </w:r>
      <w:proofErr w:type="spellEnd"/>
      <w:r w:rsidRPr="00E95FC9">
        <w:rPr>
          <w:rFonts w:ascii="Arial" w:hAnsi="Arial" w:cs="Arial"/>
          <w:sz w:val="24"/>
          <w:szCs w:val="24"/>
        </w:rPr>
        <w:t>: com um nível global de α = 0,05 e cinco comparações principais (renda, DTI, tempo de emprego, idade e histórico de restrição), o limiar ajustado foi α = 0,01. Todos os p-valores reportados neste estudo permanecem abaixo desse limiar.</w:t>
      </w:r>
    </w:p>
    <w:p w14:paraId="5B1EFD7F" w14:textId="09D27DE4" w:rsidR="00E95FC9" w:rsidRPr="00E95FC9" w:rsidRDefault="00E95FC9" w:rsidP="00173DC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95FC9">
        <w:rPr>
          <w:rFonts w:ascii="Arial" w:hAnsi="Arial" w:cs="Arial"/>
          <w:sz w:val="24"/>
          <w:szCs w:val="24"/>
        </w:rPr>
        <w:lastRenderedPageBreak/>
        <w:t xml:space="preserve">Interpretação de tamanho de efeito adotada: r de Rosenthal </w:t>
      </w:r>
      <w:r w:rsidR="00BB1851">
        <w:rPr>
          <w:rFonts w:ascii="Arial" w:hAnsi="Arial" w:cs="Arial"/>
          <w:sz w:val="24"/>
          <w:szCs w:val="24"/>
        </w:rPr>
        <w:t xml:space="preserve">- </w:t>
      </w:r>
      <w:r w:rsidRPr="00E95FC9">
        <w:rPr>
          <w:rFonts w:ascii="Arial" w:hAnsi="Arial" w:cs="Arial"/>
          <w:sz w:val="24"/>
          <w:szCs w:val="24"/>
        </w:rPr>
        <w:t xml:space="preserve">pequeno (≈0,10), médio (≈0,30), grande (≈0,50); V de </w:t>
      </w:r>
      <w:proofErr w:type="spellStart"/>
      <w:r w:rsidRPr="00E95FC9">
        <w:rPr>
          <w:rFonts w:ascii="Arial" w:hAnsi="Arial" w:cs="Arial"/>
          <w:sz w:val="24"/>
          <w:szCs w:val="24"/>
        </w:rPr>
        <w:t>Cramér</w:t>
      </w:r>
      <w:proofErr w:type="spellEnd"/>
      <w:r w:rsidRPr="00E95FC9">
        <w:rPr>
          <w:rFonts w:ascii="Arial" w:hAnsi="Arial" w:cs="Arial"/>
          <w:sz w:val="24"/>
          <w:szCs w:val="24"/>
        </w:rPr>
        <w:t xml:space="preserve"> </w:t>
      </w:r>
      <w:r w:rsidR="00034DA4">
        <w:rPr>
          <w:rFonts w:ascii="Arial" w:hAnsi="Arial" w:cs="Arial"/>
          <w:sz w:val="24"/>
          <w:szCs w:val="24"/>
        </w:rPr>
        <w:t xml:space="preserve">- </w:t>
      </w:r>
      <w:r w:rsidRPr="00E95FC9">
        <w:rPr>
          <w:rFonts w:ascii="Arial" w:hAnsi="Arial" w:cs="Arial"/>
          <w:sz w:val="24"/>
          <w:szCs w:val="24"/>
        </w:rPr>
        <w:t>pequeno (≈0,10), médio (≈0,30), grande (≈0,50), conforme convenções de Cohen (1988).</w:t>
      </w:r>
    </w:p>
    <w:p w14:paraId="7DB9B664" w14:textId="77777777" w:rsidR="00537B97" w:rsidRDefault="00537B97" w:rsidP="00E95FC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983B3" w14:textId="210055FF" w:rsidR="00A97CD3" w:rsidRPr="00A97CD3" w:rsidRDefault="00A97CD3" w:rsidP="00A97CD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7CD3">
        <w:rPr>
          <w:rFonts w:ascii="Arial" w:hAnsi="Arial" w:cs="Arial"/>
          <w:b/>
          <w:bCs/>
          <w:sz w:val="24"/>
          <w:szCs w:val="24"/>
        </w:rPr>
        <w:t>Limitações do Estudo</w:t>
      </w:r>
    </w:p>
    <w:p w14:paraId="3B7E4CC9" w14:textId="77777777" w:rsidR="00A97CD3" w:rsidRPr="00A97CD3" w:rsidRDefault="00A97CD3" w:rsidP="00A97CD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7CD3">
        <w:rPr>
          <w:rFonts w:ascii="Arial" w:hAnsi="Arial" w:cs="Arial"/>
          <w:sz w:val="24"/>
          <w:szCs w:val="24"/>
        </w:rPr>
        <w:t>Natureza correlacional: as associações reportadas não implicam causalidade. Expressões como "eleva o risco" devem ser lidas como "está associado a um risco maior", não como efeito causal comprovado.</w:t>
      </w:r>
    </w:p>
    <w:p w14:paraId="77547DED" w14:textId="77777777" w:rsidR="00A97CD3" w:rsidRPr="00A97CD3" w:rsidRDefault="00A97CD3" w:rsidP="00A97CD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7CD3">
        <w:rPr>
          <w:rFonts w:ascii="Arial" w:hAnsi="Arial" w:cs="Arial"/>
          <w:sz w:val="24"/>
          <w:szCs w:val="24"/>
        </w:rPr>
        <w:t>Desbalanceamento de classes: 78,1% adimplentes contra 21,9% inadimplentes. Isso deve ser considerado na escolha de métricas e técnicas de balanceamento em etapas futuras de modelagem.</w:t>
      </w:r>
    </w:p>
    <w:p w14:paraId="7F6FF52A" w14:textId="77777777" w:rsidR="00A97CD3" w:rsidRPr="00A97CD3" w:rsidRDefault="00A97CD3" w:rsidP="00A97CD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97CD3">
        <w:rPr>
          <w:rFonts w:ascii="Arial" w:hAnsi="Arial" w:cs="Arial"/>
          <w:sz w:val="24"/>
          <w:szCs w:val="24"/>
        </w:rPr>
        <w:t>Amostras pequenas em subgrupos: cruzamentos bivariados com clientes acima de 50 anos operam com N entre 17 e 136 por célula. As taxas percentuais desses subgrupos têm intervalos de confiança amplos e não devem embasar, isoladamente, políticas automáticas de restrição.</w:t>
      </w:r>
    </w:p>
    <w:p w14:paraId="051D4712" w14:textId="77777777" w:rsidR="00A97CD3" w:rsidRPr="00A97CD3" w:rsidRDefault="00A97CD3" w:rsidP="00A97CD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proofErr w:type="spellStart"/>
      <w:r w:rsidRPr="00A97CD3">
        <w:rPr>
          <w:rFonts w:ascii="Arial" w:hAnsi="Arial" w:cs="Arial"/>
          <w:sz w:val="24"/>
          <w:szCs w:val="24"/>
        </w:rPr>
        <w:t>loan_grade</w:t>
      </w:r>
      <w:proofErr w:type="spellEnd"/>
      <w:r w:rsidRPr="00A97CD3">
        <w:rPr>
          <w:rFonts w:ascii="Arial" w:hAnsi="Arial" w:cs="Arial"/>
          <w:sz w:val="24"/>
          <w:szCs w:val="24"/>
        </w:rPr>
        <w:t xml:space="preserve"> como variável derivada: por ser um escore proprietário já calculado a partir de outros atributos do cliente, seu uso direto em modelos preditivos futuros apresenta risco de vazamento de meta (target </w:t>
      </w:r>
      <w:proofErr w:type="spellStart"/>
      <w:r w:rsidRPr="00A97CD3">
        <w:rPr>
          <w:rFonts w:ascii="Arial" w:hAnsi="Arial" w:cs="Arial"/>
          <w:sz w:val="24"/>
          <w:szCs w:val="24"/>
        </w:rPr>
        <w:t>leakage</w:t>
      </w:r>
      <w:proofErr w:type="spellEnd"/>
      <w:r w:rsidRPr="00A97CD3">
        <w:rPr>
          <w:rFonts w:ascii="Arial" w:hAnsi="Arial" w:cs="Arial"/>
          <w:sz w:val="24"/>
          <w:szCs w:val="24"/>
        </w:rPr>
        <w:t>) e deve ser tratado com cautela na etapa de seleção de atributos.</w:t>
      </w:r>
    </w:p>
    <w:p w14:paraId="4F3C25ED" w14:textId="77777777" w:rsidR="00A97CD3" w:rsidRPr="00A97CD3" w:rsidRDefault="00A97CD3" w:rsidP="00A97CD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proofErr w:type="spellStart"/>
      <w:r w:rsidRPr="00A97CD3">
        <w:rPr>
          <w:rFonts w:ascii="Arial" w:hAnsi="Arial" w:cs="Arial"/>
          <w:sz w:val="24"/>
          <w:szCs w:val="24"/>
        </w:rPr>
        <w:t>Dataset</w:t>
      </w:r>
      <w:proofErr w:type="spellEnd"/>
      <w:r w:rsidRPr="00A97CD3">
        <w:rPr>
          <w:rFonts w:ascii="Arial" w:hAnsi="Arial" w:cs="Arial"/>
          <w:sz w:val="24"/>
          <w:szCs w:val="24"/>
        </w:rPr>
        <w:t xml:space="preserve"> público de finalidade educacional: não há garantia de que a distribuição reflita integralmente a carteira real do </w:t>
      </w:r>
      <w:proofErr w:type="spellStart"/>
      <w:r w:rsidRPr="00A97CD3">
        <w:rPr>
          <w:rFonts w:ascii="Arial" w:hAnsi="Arial" w:cs="Arial"/>
          <w:sz w:val="24"/>
          <w:szCs w:val="24"/>
        </w:rPr>
        <w:t>ApexBank</w:t>
      </w:r>
      <w:proofErr w:type="spellEnd"/>
      <w:r w:rsidRPr="00A97CD3">
        <w:rPr>
          <w:rFonts w:ascii="Arial" w:hAnsi="Arial" w:cs="Arial"/>
          <w:sz w:val="24"/>
          <w:szCs w:val="24"/>
        </w:rPr>
        <w:t>; os nomes de instituição e de indicadores de negócio são utilizados como estudo de caso aplicado.</w:t>
      </w:r>
    </w:p>
    <w:p w14:paraId="350A65F3" w14:textId="77777777" w:rsidR="00537B97" w:rsidRDefault="00537B97" w:rsidP="00AF113F">
      <w:pPr>
        <w:rPr>
          <w:rFonts w:ascii="Arial" w:hAnsi="Arial" w:cs="Arial"/>
          <w:sz w:val="24"/>
          <w:szCs w:val="24"/>
        </w:rPr>
      </w:pPr>
    </w:p>
    <w:p w14:paraId="60FD27BD" w14:textId="77777777" w:rsidR="00613C07" w:rsidRPr="00613C07" w:rsidRDefault="00613C07" w:rsidP="006D13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F7B9F3" w14:textId="77777777" w:rsidR="006D13B1" w:rsidRPr="00613C07" w:rsidRDefault="006D13B1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613C07">
        <w:rPr>
          <w:rFonts w:ascii="Arial" w:hAnsi="Arial" w:cs="Arial"/>
        </w:rPr>
        <w:br w:type="page"/>
      </w:r>
    </w:p>
    <w:p w14:paraId="4FA7653E" w14:textId="46BF554F" w:rsidR="00C3593D" w:rsidRPr="003B0E6F" w:rsidRDefault="00B9491C" w:rsidP="004E6AD7">
      <w:pPr>
        <w:pStyle w:val="Ttulo2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Distribuição Geral de Status do Empréstimo (Adimplentes vs. Inadimplentes)</w:t>
      </w:r>
    </w:p>
    <w:p w14:paraId="53A4B254" w14:textId="77777777" w:rsidR="00057C6D" w:rsidRPr="00613C07" w:rsidRDefault="00057C6D" w:rsidP="004E6AD7">
      <w:pPr>
        <w:spacing w:line="360" w:lineRule="auto"/>
        <w:rPr>
          <w:rFonts w:ascii="Arial" w:hAnsi="Arial" w:cs="Arial"/>
          <w:sz w:val="24"/>
          <w:szCs w:val="24"/>
        </w:rPr>
      </w:pPr>
    </w:p>
    <w:p w14:paraId="5E204714" w14:textId="77777777" w:rsidR="003C55D7" w:rsidRDefault="00877F52" w:rsidP="003C55D7">
      <w:pPr>
        <w:keepNext/>
        <w:spacing w:line="360" w:lineRule="auto"/>
        <w:jc w:val="center"/>
      </w:pPr>
      <w:r w:rsidRPr="00877F5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44E1AB" wp14:editId="07D5369C">
            <wp:extent cx="5400040" cy="3567430"/>
            <wp:effectExtent l="0" t="0" r="0" b="0"/>
            <wp:docPr id="395754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54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CCF8" w14:textId="1A160C8B" w:rsidR="00E4426D" w:rsidRPr="00613C07" w:rsidRDefault="003C55D7" w:rsidP="003C55D7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3</w:t>
        </w:r>
      </w:fldSimple>
      <w:r>
        <w:t xml:space="preserve"> - </w:t>
      </w:r>
      <w:r w:rsidRPr="0041487D">
        <w:t>Distribuição de adimplentes e inadimplentes na carteira.</w:t>
      </w:r>
    </w:p>
    <w:p w14:paraId="4368835B" w14:textId="77777777" w:rsidR="000D6D49" w:rsidRDefault="000D6D49" w:rsidP="00760A0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F818947" w14:textId="410A4E3E" w:rsidR="00760A0B" w:rsidRPr="00760A0B" w:rsidRDefault="00760A0B" w:rsidP="00760A0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60A0B">
        <w:rPr>
          <w:rFonts w:ascii="Arial" w:hAnsi="Arial" w:cs="Arial"/>
          <w:sz w:val="24"/>
          <w:szCs w:val="24"/>
        </w:rPr>
        <w:t>A carteira é composta por 25.321 operações adimplentes (78,13%) e 7.088 inadimplentes (21,87%). O intervalo de Wilson (95%) situa a taxa real de default entre 21,42% e 22,32%. O volume de casos de default (N = 7.088) é suficiente para sustentar as análises estatísticas subsequentes, mas o desbalanceamento de classes deve ser considerado na fase de modelagem preditiva.</w:t>
      </w:r>
    </w:p>
    <w:p w14:paraId="40D8DBC5" w14:textId="786D2DC3" w:rsidR="00EA207C" w:rsidRPr="00613C07" w:rsidRDefault="00EA207C" w:rsidP="004E6AD7">
      <w:pPr>
        <w:spacing w:line="360" w:lineRule="auto"/>
        <w:rPr>
          <w:rFonts w:ascii="Arial" w:hAnsi="Arial" w:cs="Arial"/>
          <w:sz w:val="24"/>
          <w:szCs w:val="24"/>
        </w:rPr>
      </w:pPr>
      <w:r w:rsidRPr="00613C07">
        <w:rPr>
          <w:rFonts w:ascii="Arial" w:hAnsi="Arial" w:cs="Arial"/>
          <w:sz w:val="24"/>
          <w:szCs w:val="24"/>
        </w:rPr>
        <w:br w:type="page"/>
      </w:r>
    </w:p>
    <w:p w14:paraId="26BACEFE" w14:textId="77777777" w:rsidR="00B9491C" w:rsidRPr="003B0E6F" w:rsidRDefault="00B9491C" w:rsidP="004812D9">
      <w:pPr>
        <w:pStyle w:val="Ttulo2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Matriz de Correlação (</w:t>
      </w:r>
      <w:proofErr w:type="spellStart"/>
      <w:r w:rsidRPr="003B0E6F">
        <w:rPr>
          <w:rFonts w:ascii="Arial" w:hAnsi="Arial" w:cs="Arial"/>
          <w:b/>
          <w:bCs/>
          <w:sz w:val="30"/>
          <w:szCs w:val="30"/>
        </w:rPr>
        <w:t>Heatmap</w:t>
      </w:r>
      <w:proofErr w:type="spellEnd"/>
      <w:r w:rsidRPr="003B0E6F">
        <w:rPr>
          <w:rFonts w:ascii="Arial" w:hAnsi="Arial" w:cs="Arial"/>
          <w:b/>
          <w:bCs/>
          <w:sz w:val="30"/>
          <w:szCs w:val="30"/>
        </w:rPr>
        <w:t>)</w:t>
      </w:r>
    </w:p>
    <w:p w14:paraId="71279815" w14:textId="77777777" w:rsidR="00527C66" w:rsidRPr="00613C07" w:rsidRDefault="00527C66" w:rsidP="00527C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59BB99" w14:textId="77777777" w:rsidR="00A406D0" w:rsidRDefault="000322BA" w:rsidP="00A406D0">
      <w:pPr>
        <w:keepNext/>
        <w:spacing w:line="360" w:lineRule="auto"/>
        <w:jc w:val="center"/>
      </w:pPr>
      <w:r w:rsidRPr="000322B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AAB1A6" wp14:editId="7AF40DE5">
            <wp:extent cx="5400040" cy="4571365"/>
            <wp:effectExtent l="0" t="0" r="0" b="635"/>
            <wp:docPr id="23373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41F6" w14:textId="31045240" w:rsidR="00527C66" w:rsidRPr="00613C07" w:rsidRDefault="00A406D0" w:rsidP="00A406D0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4</w:t>
        </w:r>
      </w:fldSimple>
      <w:r>
        <w:t xml:space="preserve"> - </w:t>
      </w:r>
      <w:r w:rsidRPr="00935B5F">
        <w:t>Matriz de correlação de Pearson entre variáveis numéricas.</w:t>
      </w:r>
    </w:p>
    <w:p w14:paraId="14BA61D4" w14:textId="748F9664" w:rsidR="00527C66" w:rsidRPr="00613C07" w:rsidRDefault="00527C66" w:rsidP="00527C66">
      <w:pPr>
        <w:spacing w:line="360" w:lineRule="auto"/>
        <w:rPr>
          <w:rFonts w:ascii="Arial" w:hAnsi="Arial" w:cs="Arial"/>
          <w:sz w:val="24"/>
          <w:szCs w:val="24"/>
        </w:rPr>
      </w:pPr>
    </w:p>
    <w:p w14:paraId="270455F1" w14:textId="3F069FAF" w:rsidR="000D6D49" w:rsidRPr="000D6D49" w:rsidRDefault="000D6D49" w:rsidP="000D6D4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D6D49">
        <w:rPr>
          <w:rFonts w:ascii="Arial" w:hAnsi="Arial" w:cs="Arial"/>
          <w:sz w:val="24"/>
          <w:szCs w:val="24"/>
        </w:rPr>
        <w:t>A correlação mais forte da matriz ocorre entre idade (</w:t>
      </w:r>
      <w:proofErr w:type="spellStart"/>
      <w:r w:rsidRPr="000D6D49">
        <w:rPr>
          <w:rFonts w:ascii="Arial" w:hAnsi="Arial" w:cs="Arial"/>
          <w:sz w:val="24"/>
          <w:szCs w:val="24"/>
        </w:rPr>
        <w:t>person_age</w:t>
      </w:r>
      <w:proofErr w:type="spellEnd"/>
      <w:r w:rsidRPr="000D6D49">
        <w:rPr>
          <w:rFonts w:ascii="Arial" w:hAnsi="Arial" w:cs="Arial"/>
          <w:sz w:val="24"/>
          <w:szCs w:val="24"/>
        </w:rPr>
        <w:t>) e tempo de histórico de crédito (</w:t>
      </w:r>
      <w:proofErr w:type="spellStart"/>
      <w:r w:rsidRPr="000D6D49">
        <w:rPr>
          <w:rFonts w:ascii="Arial" w:hAnsi="Arial" w:cs="Arial"/>
          <w:sz w:val="24"/>
          <w:szCs w:val="24"/>
        </w:rPr>
        <w:t>cb_person_cred_hist_length</w:t>
      </w:r>
      <w:proofErr w:type="spellEnd"/>
      <w:r w:rsidRPr="000D6D49">
        <w:rPr>
          <w:rFonts w:ascii="Arial" w:hAnsi="Arial" w:cs="Arial"/>
          <w:sz w:val="24"/>
          <w:szCs w:val="24"/>
        </w:rPr>
        <w:t xml:space="preserve">), com r = 0,88 </w:t>
      </w:r>
      <w:r w:rsidR="00BE365B">
        <w:rPr>
          <w:rFonts w:ascii="Arial" w:hAnsi="Arial" w:cs="Arial"/>
          <w:sz w:val="24"/>
          <w:szCs w:val="24"/>
        </w:rPr>
        <w:t>(</w:t>
      </w:r>
      <w:r w:rsidRPr="000D6D49">
        <w:rPr>
          <w:rFonts w:ascii="Arial" w:hAnsi="Arial" w:cs="Arial"/>
          <w:sz w:val="24"/>
          <w:szCs w:val="24"/>
        </w:rPr>
        <w:t>esperada, pois histórico de crédito tende a crescer com a idade, e que indica redundância a ser tratada na seleção de atributos de um futuro modelo</w:t>
      </w:r>
      <w:r w:rsidR="00BE365B">
        <w:rPr>
          <w:rFonts w:ascii="Arial" w:hAnsi="Arial" w:cs="Arial"/>
          <w:sz w:val="24"/>
          <w:szCs w:val="24"/>
        </w:rPr>
        <w:t>)</w:t>
      </w:r>
      <w:r w:rsidRPr="000D6D49">
        <w:rPr>
          <w:rFonts w:ascii="Arial" w:hAnsi="Arial" w:cs="Arial"/>
          <w:sz w:val="24"/>
          <w:szCs w:val="24"/>
        </w:rPr>
        <w:t>. Em relação à variável-alvo (</w:t>
      </w:r>
      <w:proofErr w:type="spellStart"/>
      <w:r w:rsidRPr="000D6D49">
        <w:rPr>
          <w:rFonts w:ascii="Arial" w:hAnsi="Arial" w:cs="Arial"/>
          <w:sz w:val="24"/>
          <w:szCs w:val="24"/>
        </w:rPr>
        <w:t>loan_status</w:t>
      </w:r>
      <w:proofErr w:type="spellEnd"/>
      <w:r w:rsidRPr="000D6D49">
        <w:rPr>
          <w:rFonts w:ascii="Arial" w:hAnsi="Arial" w:cs="Arial"/>
          <w:sz w:val="24"/>
          <w:szCs w:val="24"/>
        </w:rPr>
        <w:t xml:space="preserve">), as correlações mais relevantes, embora moderadas, são com o comprometimento de renda </w:t>
      </w:r>
      <w:proofErr w:type="gramStart"/>
      <w:r w:rsidR="00476FE9">
        <w:rPr>
          <w:rFonts w:ascii="Arial" w:hAnsi="Arial" w:cs="Arial"/>
          <w:sz w:val="24"/>
          <w:szCs w:val="24"/>
        </w:rPr>
        <w:t>(</w:t>
      </w:r>
      <w:r w:rsidRPr="000D6D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6D49">
        <w:rPr>
          <w:rFonts w:ascii="Arial" w:hAnsi="Arial" w:cs="Arial"/>
          <w:sz w:val="24"/>
          <w:szCs w:val="24"/>
        </w:rPr>
        <w:t>loan</w:t>
      </w:r>
      <w:proofErr w:type="gramEnd"/>
      <w:r w:rsidRPr="000D6D49">
        <w:rPr>
          <w:rFonts w:ascii="Arial" w:hAnsi="Arial" w:cs="Arial"/>
          <w:sz w:val="24"/>
          <w:szCs w:val="24"/>
        </w:rPr>
        <w:t>_percent_income</w:t>
      </w:r>
      <w:proofErr w:type="spellEnd"/>
      <w:r w:rsidRPr="000D6D49">
        <w:rPr>
          <w:rFonts w:ascii="Arial" w:hAnsi="Arial" w:cs="Arial"/>
          <w:sz w:val="24"/>
          <w:szCs w:val="24"/>
        </w:rPr>
        <w:t xml:space="preserve"> </w:t>
      </w:r>
      <w:r w:rsidR="00476FE9">
        <w:rPr>
          <w:rFonts w:ascii="Arial" w:hAnsi="Arial" w:cs="Arial"/>
          <w:sz w:val="24"/>
          <w:szCs w:val="24"/>
        </w:rPr>
        <w:t xml:space="preserve">- </w:t>
      </w:r>
      <w:r w:rsidRPr="000D6D49">
        <w:rPr>
          <w:rFonts w:ascii="Arial" w:hAnsi="Arial" w:cs="Arial"/>
          <w:sz w:val="24"/>
          <w:szCs w:val="24"/>
        </w:rPr>
        <w:t xml:space="preserve">r = 0,38) e com a taxa de juros </w:t>
      </w:r>
      <w:r w:rsidR="00476FE9">
        <w:rPr>
          <w:rFonts w:ascii="Arial" w:hAnsi="Arial" w:cs="Arial"/>
          <w:sz w:val="24"/>
          <w:szCs w:val="24"/>
        </w:rPr>
        <w:t>(</w:t>
      </w:r>
      <w:proofErr w:type="spellStart"/>
      <w:r w:rsidRPr="000D6D49">
        <w:rPr>
          <w:rFonts w:ascii="Arial" w:hAnsi="Arial" w:cs="Arial"/>
          <w:sz w:val="24"/>
          <w:szCs w:val="24"/>
        </w:rPr>
        <w:t>loan_int_rate</w:t>
      </w:r>
      <w:proofErr w:type="spellEnd"/>
      <w:r w:rsidRPr="000D6D49">
        <w:rPr>
          <w:rFonts w:ascii="Arial" w:hAnsi="Arial" w:cs="Arial"/>
          <w:sz w:val="24"/>
          <w:szCs w:val="24"/>
        </w:rPr>
        <w:t xml:space="preserve"> </w:t>
      </w:r>
      <w:r w:rsidR="00394554">
        <w:rPr>
          <w:rFonts w:ascii="Arial" w:hAnsi="Arial" w:cs="Arial"/>
          <w:sz w:val="24"/>
          <w:szCs w:val="24"/>
        </w:rPr>
        <w:t xml:space="preserve">- </w:t>
      </w:r>
      <w:r w:rsidRPr="000D6D49">
        <w:rPr>
          <w:rFonts w:ascii="Arial" w:hAnsi="Arial" w:cs="Arial"/>
          <w:sz w:val="24"/>
          <w:szCs w:val="24"/>
        </w:rPr>
        <w:t>r = 0,32). Coeficientes de Pearson moderados são esperados nesse tipo de problema, já que o risco de crédito resulta da combinação de múltiplos fatores, não de uma única variável linear.</w:t>
      </w:r>
    </w:p>
    <w:p w14:paraId="07CD7798" w14:textId="77777777" w:rsidR="008A236B" w:rsidRPr="00613C07" w:rsidRDefault="008A236B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613C07">
        <w:rPr>
          <w:rFonts w:ascii="Arial" w:hAnsi="Arial" w:cs="Arial"/>
        </w:rPr>
        <w:br w:type="page"/>
      </w:r>
    </w:p>
    <w:p w14:paraId="15D0B52C" w14:textId="43895D4F" w:rsidR="00057C6D" w:rsidRPr="003B0E6F" w:rsidRDefault="00191EB5" w:rsidP="004812D9">
      <w:pPr>
        <w:pStyle w:val="Ttulo2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Distribuição de Renda Bruta por Status</w:t>
      </w:r>
    </w:p>
    <w:p w14:paraId="02C31B4D" w14:textId="70C4D0DD" w:rsidR="00057C6D" w:rsidRPr="00613C07" w:rsidRDefault="00057C6D" w:rsidP="004E6AD7">
      <w:pPr>
        <w:spacing w:line="360" w:lineRule="auto"/>
        <w:rPr>
          <w:rFonts w:ascii="Arial" w:hAnsi="Arial" w:cs="Arial"/>
          <w:sz w:val="24"/>
          <w:szCs w:val="24"/>
        </w:rPr>
      </w:pPr>
    </w:p>
    <w:p w14:paraId="5F44D336" w14:textId="77777777" w:rsidR="001E7569" w:rsidRDefault="00B921F7" w:rsidP="001E7569">
      <w:pPr>
        <w:keepNext/>
        <w:spacing w:line="360" w:lineRule="auto"/>
        <w:jc w:val="both"/>
      </w:pPr>
      <w:r w:rsidRPr="00B921F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A52600" wp14:editId="31DE5A6F">
            <wp:extent cx="5400040" cy="3158490"/>
            <wp:effectExtent l="0" t="0" r="0" b="3810"/>
            <wp:docPr id="243963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3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BC19" w14:textId="560F3E9B" w:rsidR="00B44860" w:rsidRDefault="001E7569" w:rsidP="001E7569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5</w:t>
        </w:r>
      </w:fldSimple>
      <w:r>
        <w:t xml:space="preserve"> - </w:t>
      </w:r>
      <w:r w:rsidRPr="007A6144">
        <w:t>Distribuição da renda bruta anual por status do empréstimo.</w:t>
      </w:r>
    </w:p>
    <w:p w14:paraId="56CF5A09" w14:textId="77777777" w:rsidR="00F2179C" w:rsidRPr="00613C07" w:rsidRDefault="00F2179C" w:rsidP="00B4486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8"/>
        <w:gridCol w:w="2069"/>
        <w:gridCol w:w="2118"/>
        <w:gridCol w:w="2069"/>
      </w:tblGrid>
      <w:tr w:rsidR="00F2179C" w14:paraId="57E35598" w14:textId="77777777" w:rsidTr="00EF0D3A">
        <w:trPr>
          <w:tblHeader/>
        </w:trPr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749A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1E60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Média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07F7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Mediana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6652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IQR (Q1–Q3)</w:t>
            </w:r>
          </w:p>
        </w:tc>
      </w:tr>
      <w:tr w:rsidR="00F2179C" w14:paraId="6F4EAD26" w14:textId="77777777" w:rsidTr="00EF0D3A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8115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Adimplentes (N = 25.321)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CCE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R$ 70.597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5D13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R$ 60.000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6B42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R$ 42.000 – R$ 84.000</w:t>
            </w:r>
          </w:p>
        </w:tc>
      </w:tr>
      <w:tr w:rsidR="00F2179C" w14:paraId="726F9818" w14:textId="77777777" w:rsidTr="00EF0D3A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7368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Inadimplentes (N = 7.088)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2623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R$ 49.093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DFE3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R$ 41.655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D2C4" w14:textId="77777777" w:rsidR="00F2179C" w:rsidRDefault="00F2179C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R$ 30.000 – R$ 59.600</w:t>
            </w:r>
          </w:p>
        </w:tc>
      </w:tr>
    </w:tbl>
    <w:p w14:paraId="6FE5AB03" w14:textId="77777777" w:rsidR="00F2179C" w:rsidRDefault="00F2179C" w:rsidP="00F2179C">
      <w:pPr>
        <w:jc w:val="both"/>
      </w:pPr>
    </w:p>
    <w:p w14:paraId="21896540" w14:textId="1FC9F02C" w:rsidR="00B81699" w:rsidRPr="00613C07" w:rsidRDefault="00F2179C" w:rsidP="00616E9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16E97">
        <w:rPr>
          <w:rFonts w:ascii="Arial" w:hAnsi="Arial" w:cs="Arial"/>
          <w:sz w:val="24"/>
          <w:szCs w:val="24"/>
        </w:rPr>
        <w:t xml:space="preserve">A mediana de renda dos inadimplentes é 31% menor que a dos adimplentes, e o teste de Mann-Whitney U confirma que as distribuições diferem (U = 123.846.249; p &lt; 0,001). No entanto, o tamanho de efeito de Rosenthal é fraco a moderado (r = 0,27), e há sobreposição interquartílica expressiva entre os grupos, incluindo casos de default com renda de até R$ 703.800. Isso indica que a renda bruta, isoladamente, tem poder discriminatório limitado e não deve ser usada como régua de corte linear </w:t>
      </w:r>
      <w:r w:rsidR="009E1B26">
        <w:rPr>
          <w:rFonts w:ascii="Arial" w:hAnsi="Arial" w:cs="Arial"/>
          <w:sz w:val="24"/>
          <w:szCs w:val="24"/>
        </w:rPr>
        <w:t>(</w:t>
      </w:r>
      <w:r w:rsidRPr="00616E97">
        <w:rPr>
          <w:rFonts w:ascii="Arial" w:hAnsi="Arial" w:cs="Arial"/>
          <w:sz w:val="24"/>
          <w:szCs w:val="24"/>
        </w:rPr>
        <w:t>seu valor preditivo é maior quando combinada a indicadores de comprometimento financeiro</w:t>
      </w:r>
      <w:r w:rsidR="009E1B26">
        <w:rPr>
          <w:rFonts w:ascii="Arial" w:hAnsi="Arial" w:cs="Arial"/>
          <w:sz w:val="24"/>
          <w:szCs w:val="24"/>
        </w:rPr>
        <w:t>)</w:t>
      </w:r>
      <w:r w:rsidRPr="00616E97">
        <w:rPr>
          <w:rFonts w:ascii="Arial" w:hAnsi="Arial" w:cs="Arial"/>
          <w:sz w:val="24"/>
          <w:szCs w:val="24"/>
        </w:rPr>
        <w:t>.</w:t>
      </w:r>
      <w:r w:rsidR="00B81699" w:rsidRPr="00613C07">
        <w:rPr>
          <w:rFonts w:ascii="Arial" w:hAnsi="Arial" w:cs="Arial"/>
          <w:sz w:val="24"/>
          <w:szCs w:val="24"/>
        </w:rPr>
        <w:br w:type="page"/>
      </w:r>
    </w:p>
    <w:p w14:paraId="46199C58" w14:textId="77777777" w:rsidR="00B81699" w:rsidRPr="003B0E6F" w:rsidRDefault="00B81699" w:rsidP="00B81699">
      <w:pPr>
        <w:pStyle w:val="Ttulo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Comprometimento de Renda (</w:t>
      </w:r>
      <w:proofErr w:type="spellStart"/>
      <w:r w:rsidRPr="003B0E6F">
        <w:rPr>
          <w:rFonts w:ascii="Arial" w:hAnsi="Arial" w:cs="Arial"/>
          <w:b/>
          <w:bCs/>
          <w:sz w:val="30"/>
          <w:szCs w:val="30"/>
        </w:rPr>
        <w:t>loan_percent_income</w:t>
      </w:r>
      <w:proofErr w:type="spellEnd"/>
      <w:r w:rsidRPr="003B0E6F">
        <w:rPr>
          <w:rFonts w:ascii="Arial" w:hAnsi="Arial" w:cs="Arial"/>
          <w:b/>
          <w:bCs/>
          <w:sz w:val="30"/>
          <w:szCs w:val="30"/>
        </w:rPr>
        <w:t>)</w:t>
      </w:r>
    </w:p>
    <w:p w14:paraId="5F8FC1F2" w14:textId="3A121C2E" w:rsidR="00B81699" w:rsidRPr="00613C07" w:rsidRDefault="00B81699" w:rsidP="00B81699">
      <w:pPr>
        <w:spacing w:line="360" w:lineRule="auto"/>
        <w:rPr>
          <w:rFonts w:ascii="Arial" w:hAnsi="Arial" w:cs="Arial"/>
          <w:sz w:val="24"/>
          <w:szCs w:val="24"/>
        </w:rPr>
      </w:pPr>
    </w:p>
    <w:p w14:paraId="05723257" w14:textId="42F12D1A" w:rsidR="0029347F" w:rsidRDefault="00362186" w:rsidP="0029347F">
      <w:pPr>
        <w:keepNext/>
        <w:spacing w:line="360" w:lineRule="auto"/>
        <w:jc w:val="both"/>
      </w:pPr>
      <w:r w:rsidRPr="00362186">
        <w:rPr>
          <w:noProof/>
        </w:rPr>
        <w:drawing>
          <wp:inline distT="0" distB="0" distL="0" distR="0" wp14:anchorId="395C1031" wp14:editId="18EDD2C5">
            <wp:extent cx="5400040" cy="3158490"/>
            <wp:effectExtent l="0" t="0" r="0" b="3810"/>
            <wp:docPr id="1064363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3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80D2" w14:textId="2AFF7749" w:rsidR="008E23E0" w:rsidRPr="00613C07" w:rsidRDefault="0029347F" w:rsidP="0029347F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6</w:t>
        </w:r>
      </w:fldSimple>
      <w:r>
        <w:t xml:space="preserve"> - </w:t>
      </w:r>
      <w:r w:rsidRPr="00C028AE">
        <w:t>Distribuição do comprometimento de renda por status do empréstimo.</w:t>
      </w:r>
    </w:p>
    <w:p w14:paraId="55BF9251" w14:textId="77777777" w:rsidR="008E23E0" w:rsidRDefault="008E23E0" w:rsidP="0084313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1"/>
        <w:gridCol w:w="2066"/>
        <w:gridCol w:w="2124"/>
        <w:gridCol w:w="2063"/>
      </w:tblGrid>
      <w:tr w:rsidR="00043394" w14:paraId="76D8E1FA" w14:textId="77777777" w:rsidTr="00EF0D3A">
        <w:trPr>
          <w:tblHeader/>
        </w:trPr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65AB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24E4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Média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1B83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Mediana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64E2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IQR (Q1–Q3)</w:t>
            </w:r>
          </w:p>
        </w:tc>
      </w:tr>
      <w:tr w:rsidR="00043394" w14:paraId="2D0BADCF" w14:textId="77777777" w:rsidTr="00EF0D3A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36A4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Adimplentes (N = 25.321)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377A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14,7%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0D93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13,0%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9A77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7,6% – 20,1%</w:t>
            </w:r>
          </w:p>
        </w:tc>
      </w:tr>
      <w:tr w:rsidR="00043394" w14:paraId="3B8DB8C4" w14:textId="77777777" w:rsidTr="00EF0D3A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AB3A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Inadimplentes (N = 7.088)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9F6C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25,2%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B36D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24,0%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111F" w14:textId="77777777" w:rsidR="00043394" w:rsidRDefault="00043394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16,1% – 32,7%</w:t>
            </w:r>
          </w:p>
        </w:tc>
      </w:tr>
    </w:tbl>
    <w:p w14:paraId="4AF09DB9" w14:textId="77777777" w:rsidR="00EF0D3A" w:rsidRDefault="00EF0D3A" w:rsidP="00043394">
      <w:pPr>
        <w:jc w:val="both"/>
      </w:pPr>
    </w:p>
    <w:p w14:paraId="46F5FD43" w14:textId="4A6C3500" w:rsidR="00043394" w:rsidRPr="00EF0D3A" w:rsidRDefault="00043394" w:rsidP="00EF0D3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F0D3A">
        <w:rPr>
          <w:rFonts w:ascii="Arial" w:hAnsi="Arial" w:cs="Arial"/>
          <w:sz w:val="24"/>
          <w:szCs w:val="24"/>
        </w:rPr>
        <w:t xml:space="preserve">O DTI apresenta separação estatística muito mais nítida que a renda bruta: o primeiro quartil dos inadimplentes (16,1%) já supera a mediana dos adimplentes (13,0%). O teste de Mann-Whitney U confirma a diferença (U = 50.094.443; p &lt; 0,001), e a magnitude prática </w:t>
      </w:r>
      <w:r w:rsidR="008769AA">
        <w:rPr>
          <w:rFonts w:ascii="Arial" w:hAnsi="Arial" w:cs="Arial"/>
          <w:sz w:val="24"/>
          <w:szCs w:val="24"/>
        </w:rPr>
        <w:t xml:space="preserve">- </w:t>
      </w:r>
      <w:r w:rsidRPr="00EF0D3A">
        <w:rPr>
          <w:rFonts w:ascii="Arial" w:hAnsi="Arial" w:cs="Arial"/>
          <w:sz w:val="24"/>
          <w:szCs w:val="24"/>
        </w:rPr>
        <w:t xml:space="preserve">analisada de forma categórica na </w:t>
      </w:r>
      <w:r w:rsidR="008769AA">
        <w:rPr>
          <w:rFonts w:ascii="Arial" w:hAnsi="Arial" w:cs="Arial"/>
          <w:sz w:val="24"/>
          <w:szCs w:val="24"/>
        </w:rPr>
        <w:t>s</w:t>
      </w:r>
      <w:r w:rsidRPr="00EF0D3A">
        <w:rPr>
          <w:rFonts w:ascii="Arial" w:hAnsi="Arial" w:cs="Arial"/>
          <w:sz w:val="24"/>
          <w:szCs w:val="24"/>
        </w:rPr>
        <w:t>eção</w:t>
      </w:r>
      <w:r w:rsidR="008769AA" w:rsidRPr="008769AA">
        <w:rPr>
          <w:rFonts w:ascii="Arial" w:hAnsi="Arial" w:cs="Arial"/>
          <w:sz w:val="24"/>
          <w:szCs w:val="24"/>
        </w:rPr>
        <w:t xml:space="preserve"> “Alerta de Risco DTI (limiar de 30%)”</w:t>
      </w:r>
      <w:r w:rsidR="008769AA">
        <w:rPr>
          <w:rFonts w:ascii="Arial" w:hAnsi="Arial" w:cs="Arial"/>
          <w:sz w:val="24"/>
          <w:szCs w:val="24"/>
        </w:rPr>
        <w:t xml:space="preserve"> -</w:t>
      </w:r>
      <w:r w:rsidRPr="00EF0D3A">
        <w:rPr>
          <w:rFonts w:ascii="Arial" w:hAnsi="Arial" w:cs="Arial"/>
          <w:sz w:val="24"/>
          <w:szCs w:val="24"/>
        </w:rPr>
        <w:t xml:space="preserve"> é forte. Trata-se do atributo contínuo com maior poder discriminatório identificado neste estudo.</w:t>
      </w:r>
    </w:p>
    <w:p w14:paraId="368A0602" w14:textId="6E081C44" w:rsidR="003C52B6" w:rsidRPr="00613C07" w:rsidRDefault="003C52B6" w:rsidP="00943F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3C07">
        <w:rPr>
          <w:rFonts w:ascii="Arial" w:hAnsi="Arial" w:cs="Arial"/>
          <w:sz w:val="24"/>
          <w:szCs w:val="24"/>
        </w:rPr>
        <w:br w:type="page"/>
      </w:r>
    </w:p>
    <w:p w14:paraId="796D0B56" w14:textId="3BA7FC62" w:rsidR="005B66B9" w:rsidRPr="003B0E6F" w:rsidRDefault="004812D9" w:rsidP="004812D9">
      <w:pPr>
        <w:pStyle w:val="Ttulo2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Proporção de Adimplência por Alerta de Risco DTI</w:t>
      </w:r>
    </w:p>
    <w:p w14:paraId="6758D8A0" w14:textId="74E227D8" w:rsidR="005B66B9" w:rsidRPr="00613C07" w:rsidRDefault="005B66B9" w:rsidP="005B66B9">
      <w:pPr>
        <w:spacing w:line="360" w:lineRule="auto"/>
        <w:rPr>
          <w:rFonts w:ascii="Arial" w:hAnsi="Arial" w:cs="Arial"/>
          <w:sz w:val="24"/>
          <w:szCs w:val="24"/>
        </w:rPr>
      </w:pPr>
    </w:p>
    <w:p w14:paraId="7BE5D3A4" w14:textId="77777777" w:rsidR="00FA5550" w:rsidRDefault="009D3002" w:rsidP="00FA5550">
      <w:pPr>
        <w:keepNext/>
        <w:spacing w:line="360" w:lineRule="auto"/>
        <w:jc w:val="both"/>
      </w:pPr>
      <w:r w:rsidRPr="009D300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0C5163" wp14:editId="3B420087">
            <wp:extent cx="5400040" cy="3258185"/>
            <wp:effectExtent l="0" t="0" r="0" b="0"/>
            <wp:docPr id="746389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89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5027" w14:textId="798BA210" w:rsidR="00AA11FA" w:rsidRPr="00613C07" w:rsidRDefault="00FA5550" w:rsidP="00FA5550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7</w:t>
        </w:r>
      </w:fldSimple>
      <w:r>
        <w:t xml:space="preserve"> - </w:t>
      </w:r>
      <w:r w:rsidRPr="00697A5D">
        <w:t>Taxa de adimplência/inadimplência por faixa de alerta DTI.</w:t>
      </w:r>
    </w:p>
    <w:p w14:paraId="1E994051" w14:textId="77777777" w:rsidR="00AA11FA" w:rsidRPr="00613C07" w:rsidRDefault="00AA11FA" w:rsidP="00AA11F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7C8326" w14:textId="4C9A3643" w:rsidR="00251F71" w:rsidRPr="00251F71" w:rsidRDefault="00251F71" w:rsidP="00251F7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51F71">
        <w:rPr>
          <w:rFonts w:ascii="Arial" w:hAnsi="Arial" w:cs="Arial"/>
          <w:sz w:val="24"/>
          <w:szCs w:val="24"/>
        </w:rPr>
        <w:t xml:space="preserve">Segmentando os clientes pelo limiar de 30% de comprometimento de renda: no grupo "Risco Sob Controle" (DTI ≤ 30%), 84,6% dos clientes são adimplentes; no grupo "Alto Risco" (DTI &gt; 30%), a taxa de inadimplência sobe para 70,4% </w:t>
      </w:r>
      <w:r w:rsidR="00686753">
        <w:rPr>
          <w:rFonts w:ascii="Arial" w:hAnsi="Arial" w:cs="Arial"/>
          <w:sz w:val="24"/>
          <w:szCs w:val="24"/>
        </w:rPr>
        <w:t>(</w:t>
      </w:r>
      <w:r w:rsidRPr="00251F71">
        <w:rPr>
          <w:rFonts w:ascii="Arial" w:hAnsi="Arial" w:cs="Arial"/>
          <w:sz w:val="24"/>
          <w:szCs w:val="24"/>
        </w:rPr>
        <w:t>um salto de 4,5 vezes no risco absoluto</w:t>
      </w:r>
      <w:r w:rsidR="00686753">
        <w:rPr>
          <w:rFonts w:ascii="Arial" w:hAnsi="Arial" w:cs="Arial"/>
          <w:sz w:val="24"/>
          <w:szCs w:val="24"/>
        </w:rPr>
        <w:t>)</w:t>
      </w:r>
      <w:r w:rsidRPr="00251F71">
        <w:rPr>
          <w:rFonts w:ascii="Arial" w:hAnsi="Arial" w:cs="Arial"/>
          <w:sz w:val="24"/>
          <w:szCs w:val="24"/>
        </w:rPr>
        <w:t>. A associação é estatisticamente forte (</w:t>
      </w:r>
      <w:proofErr w:type="spellStart"/>
      <w:r w:rsidRPr="00251F71">
        <w:rPr>
          <w:rFonts w:ascii="Arial" w:hAnsi="Arial" w:cs="Arial"/>
          <w:sz w:val="24"/>
          <w:szCs w:val="24"/>
        </w:rPr>
        <w:t>Qui</w:t>
      </w:r>
      <w:proofErr w:type="spellEnd"/>
      <w:r w:rsidRPr="00251F71">
        <w:rPr>
          <w:rFonts w:ascii="Arial" w:hAnsi="Arial" w:cs="Arial"/>
          <w:sz w:val="24"/>
          <w:szCs w:val="24"/>
        </w:rPr>
        <w:t xml:space="preserve">-quadrado = 5.969,05; p &lt; 0,001; V de </w:t>
      </w:r>
      <w:proofErr w:type="spellStart"/>
      <w:r w:rsidRPr="00251F71">
        <w:rPr>
          <w:rFonts w:ascii="Arial" w:hAnsi="Arial" w:cs="Arial"/>
          <w:sz w:val="24"/>
          <w:szCs w:val="24"/>
        </w:rPr>
        <w:t>Cramér</w:t>
      </w:r>
      <w:proofErr w:type="spellEnd"/>
      <w:r w:rsidRPr="00251F71">
        <w:rPr>
          <w:rFonts w:ascii="Arial" w:hAnsi="Arial" w:cs="Arial"/>
          <w:sz w:val="24"/>
          <w:szCs w:val="24"/>
        </w:rPr>
        <w:t xml:space="preserve"> = 0,43) e o intervalo de Wilson (95%) situa a taxa real de default do grupo de Alto Risco entre 68,96% e 71,86%, confirmando que o padrão é estável, e não um artefato amostral.</w:t>
      </w:r>
    </w:p>
    <w:p w14:paraId="46C02EDB" w14:textId="6CB24855" w:rsidR="00251F71" w:rsidRPr="00251F71" w:rsidRDefault="00251F71" w:rsidP="00251F7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51F71">
        <w:rPr>
          <w:rFonts w:ascii="Arial" w:hAnsi="Arial" w:cs="Arial"/>
          <w:sz w:val="24"/>
          <w:szCs w:val="24"/>
        </w:rPr>
        <w:t xml:space="preserve">Importante: 29,6% dos clientes classificados em Alto Risco permanecem adimplentes. Um corte automático e sumário nesse limiar rejeitaria uma parcela relevante de bons pagadores; recomenda-se tratá-lo como filtro de triagem </w:t>
      </w:r>
      <w:r w:rsidR="00686753">
        <w:rPr>
          <w:rFonts w:ascii="Arial" w:hAnsi="Arial" w:cs="Arial"/>
          <w:sz w:val="24"/>
          <w:szCs w:val="24"/>
        </w:rPr>
        <w:t>(</w:t>
      </w:r>
      <w:r w:rsidRPr="00251F71">
        <w:rPr>
          <w:rFonts w:ascii="Arial" w:hAnsi="Arial" w:cs="Arial"/>
          <w:sz w:val="24"/>
          <w:szCs w:val="24"/>
        </w:rPr>
        <w:t>combinado a mitigadores como histórico limpo em bureau</w:t>
      </w:r>
      <w:r w:rsidR="00686753">
        <w:rPr>
          <w:rFonts w:ascii="Arial" w:hAnsi="Arial" w:cs="Arial"/>
          <w:sz w:val="24"/>
          <w:szCs w:val="24"/>
        </w:rPr>
        <w:t>)</w:t>
      </w:r>
      <w:r w:rsidRPr="00251F71">
        <w:rPr>
          <w:rFonts w:ascii="Arial" w:hAnsi="Arial" w:cs="Arial"/>
          <w:sz w:val="24"/>
          <w:szCs w:val="24"/>
        </w:rPr>
        <w:t xml:space="preserve"> em vez de veto automático isolado.</w:t>
      </w:r>
    </w:p>
    <w:p w14:paraId="47197992" w14:textId="2C053986" w:rsidR="00350FDB" w:rsidRPr="00613C07" w:rsidRDefault="00350FDB" w:rsidP="004C5AF4">
      <w:pPr>
        <w:spacing w:line="360" w:lineRule="auto"/>
        <w:jc w:val="both"/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</w:p>
    <w:p w14:paraId="7F80D5E5" w14:textId="5A8C0901" w:rsidR="00BA10E9" w:rsidRPr="003B0E6F" w:rsidRDefault="0077241B" w:rsidP="00B81699">
      <w:pPr>
        <w:pStyle w:val="Ttulo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Tempo de Emprego por Status do Empréstimo</w:t>
      </w:r>
    </w:p>
    <w:p w14:paraId="0C9AA775" w14:textId="77777777" w:rsidR="00BA10E9" w:rsidRPr="00613C07" w:rsidRDefault="00BA10E9" w:rsidP="00BA10E9">
      <w:pPr>
        <w:spacing w:line="360" w:lineRule="auto"/>
        <w:rPr>
          <w:rFonts w:ascii="Arial" w:hAnsi="Arial" w:cs="Arial"/>
          <w:sz w:val="24"/>
          <w:szCs w:val="24"/>
        </w:rPr>
      </w:pPr>
    </w:p>
    <w:p w14:paraId="7AD8D5F0" w14:textId="77777777" w:rsidR="00D634C2" w:rsidRDefault="00CD4528" w:rsidP="00D634C2">
      <w:pPr>
        <w:keepNext/>
        <w:spacing w:line="360" w:lineRule="auto"/>
        <w:jc w:val="both"/>
      </w:pPr>
      <w:r w:rsidRPr="00CD452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363B82" wp14:editId="058D72A3">
            <wp:extent cx="5400040" cy="3158490"/>
            <wp:effectExtent l="0" t="0" r="0" b="3810"/>
            <wp:docPr id="1845006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06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CEAF" w14:textId="57551285" w:rsidR="00851A54" w:rsidRPr="00613C07" w:rsidRDefault="00D634C2" w:rsidP="00D634C2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8</w:t>
        </w:r>
      </w:fldSimple>
      <w:r>
        <w:t xml:space="preserve"> - </w:t>
      </w:r>
      <w:r w:rsidRPr="008315B1">
        <w:t>Distribuição do tempo de emprego por status do empréstimo.</w:t>
      </w:r>
    </w:p>
    <w:p w14:paraId="735FD8DE" w14:textId="77777777" w:rsidR="00851A54" w:rsidRPr="00613C07" w:rsidRDefault="00851A54" w:rsidP="00BA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C8364B" w14:textId="7D8D409C" w:rsidR="00927866" w:rsidRPr="003B0E6F" w:rsidRDefault="00753227" w:rsidP="0075322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B0E6F">
        <w:rPr>
          <w:rFonts w:ascii="Arial" w:hAnsi="Arial" w:cs="Arial"/>
          <w:sz w:val="24"/>
          <w:szCs w:val="24"/>
        </w:rPr>
        <w:t>As distribuições contínuas de tempo de emprego entre adimplentes (mediana de 4 anos) e inadimplentes (mediana de 3 anos) são próximas, com sobreposição interquartílica quase completa. O teste de Mann-Whitney U detecta diferença estatisticamente significativa (U = 101.735.723,5; p = 3,91×10</w:t>
      </w:r>
      <w:r w:rsidRPr="003B0E6F">
        <w:rPr>
          <w:rFonts w:ascii="Cambria Math" w:hAnsi="Cambria Math" w:cs="Cambria Math"/>
          <w:sz w:val="24"/>
          <w:szCs w:val="24"/>
        </w:rPr>
        <w:t>⁻</w:t>
      </w:r>
      <w:r w:rsidRPr="003B0E6F">
        <w:rPr>
          <w:rFonts w:ascii="Arial" w:hAnsi="Arial" w:cs="Arial"/>
          <w:sz w:val="24"/>
          <w:szCs w:val="24"/>
        </w:rPr>
        <w:t>⁶⁷), mas o efeito de Rosenthal é desprezível (r = 0,10), o que ilustra um efeito clássico de amostras grandes: significância estatística não implica relevância prática. Isoladamente, o tempo de emprego contínuo tem baixo poder preditivo.</w:t>
      </w:r>
    </w:p>
    <w:p w14:paraId="6CEEC75F" w14:textId="77777777" w:rsidR="00BA10E9" w:rsidRPr="00613C07" w:rsidRDefault="00BA10E9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613C07">
        <w:rPr>
          <w:rFonts w:ascii="Arial" w:hAnsi="Arial" w:cs="Arial"/>
        </w:rPr>
        <w:br w:type="page"/>
      </w:r>
    </w:p>
    <w:p w14:paraId="048D933C" w14:textId="28114029" w:rsidR="007A2420" w:rsidRPr="003B0E6F" w:rsidRDefault="00B149E0" w:rsidP="00B81699">
      <w:pPr>
        <w:pStyle w:val="Ttulo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Taxa de Inadimplência por Faixa de Tempo de Emprego</w:t>
      </w:r>
    </w:p>
    <w:p w14:paraId="46562529" w14:textId="7D9AFEF6" w:rsidR="007A2420" w:rsidRPr="00613C07" w:rsidRDefault="007A2420" w:rsidP="007A2420">
      <w:pPr>
        <w:spacing w:line="360" w:lineRule="auto"/>
        <w:rPr>
          <w:rFonts w:ascii="Arial" w:hAnsi="Arial" w:cs="Arial"/>
          <w:sz w:val="24"/>
          <w:szCs w:val="24"/>
        </w:rPr>
      </w:pPr>
    </w:p>
    <w:p w14:paraId="54649355" w14:textId="77777777" w:rsidR="009158FC" w:rsidRDefault="009859D6" w:rsidP="009158FC">
      <w:pPr>
        <w:keepNext/>
        <w:spacing w:line="360" w:lineRule="auto"/>
        <w:jc w:val="both"/>
      </w:pPr>
      <w:r w:rsidRPr="009859D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EBD30C" wp14:editId="58AA8593">
            <wp:extent cx="5400040" cy="2834640"/>
            <wp:effectExtent l="0" t="0" r="0" b="3810"/>
            <wp:docPr id="1308368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68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6430" w14:textId="04D58518" w:rsidR="00B207F4" w:rsidRPr="00613C07" w:rsidRDefault="009158FC" w:rsidP="009158FC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9</w:t>
        </w:r>
      </w:fldSimple>
      <w:r>
        <w:t xml:space="preserve"> - </w:t>
      </w:r>
      <w:r w:rsidRPr="00CC2B22">
        <w:t>Taxa de inadimplência por faixa de tempo de emprego.</w:t>
      </w:r>
    </w:p>
    <w:p w14:paraId="0A216A72" w14:textId="77777777" w:rsidR="00B207F4" w:rsidRPr="00613C07" w:rsidRDefault="00B207F4" w:rsidP="00B207F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0566DD" w14:paraId="46563564" w14:textId="77777777" w:rsidTr="000566DD">
        <w:trPr>
          <w:tblHeader/>
          <w:jc w:val="center"/>
        </w:trPr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D299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Faixa de tempo de emprego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1A6B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de inadimplência</w:t>
            </w:r>
          </w:p>
        </w:tc>
      </w:tr>
      <w:tr w:rsidR="000566DD" w14:paraId="1F721E7A" w14:textId="77777777" w:rsidTr="000566DD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11D8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Até 2 anos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8779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27,1%</w:t>
            </w:r>
          </w:p>
        </w:tc>
      </w:tr>
      <w:tr w:rsidR="000566DD" w14:paraId="335427B3" w14:textId="77777777" w:rsidTr="000566DD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E8FC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 a 5 anos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145D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21,1%</w:t>
            </w:r>
          </w:p>
        </w:tc>
      </w:tr>
      <w:tr w:rsidR="000566DD" w14:paraId="3813864A" w14:textId="77777777" w:rsidTr="000566DD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D7CB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 a 10 anos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5173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18,1%</w:t>
            </w:r>
          </w:p>
        </w:tc>
      </w:tr>
      <w:tr w:rsidR="000566DD" w14:paraId="5E6F929F" w14:textId="77777777" w:rsidTr="000566DD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92BB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Mais de 10 anos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0592" w14:textId="77777777" w:rsidR="000566DD" w:rsidRDefault="000566DD" w:rsidP="000566DD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16,2%</w:t>
            </w:r>
          </w:p>
        </w:tc>
      </w:tr>
    </w:tbl>
    <w:p w14:paraId="0642F3F6" w14:textId="77777777" w:rsidR="000566DD" w:rsidRDefault="000566DD" w:rsidP="000566DD">
      <w:pPr>
        <w:jc w:val="both"/>
      </w:pPr>
    </w:p>
    <w:p w14:paraId="2592D688" w14:textId="2E053EC8" w:rsidR="007A2420" w:rsidRPr="000566DD" w:rsidRDefault="000566DD" w:rsidP="000566D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566DD">
        <w:rPr>
          <w:rFonts w:ascii="Arial" w:hAnsi="Arial" w:cs="Arial"/>
          <w:sz w:val="24"/>
          <w:szCs w:val="24"/>
        </w:rPr>
        <w:t>Ao contrário da leitura contínua, a estratificação em faixas revela um padrão monotônico e de negócio acionável: a inadimplência recua de 27,1% (até 2 anos) para 16,2% (mais de 10 anos)</w:t>
      </w:r>
      <w:r w:rsidR="003B0E6F">
        <w:rPr>
          <w:rFonts w:ascii="Arial" w:hAnsi="Arial" w:cs="Arial"/>
          <w:sz w:val="24"/>
          <w:szCs w:val="24"/>
        </w:rPr>
        <w:t xml:space="preserve">, </w:t>
      </w:r>
      <w:r w:rsidRPr="000566DD">
        <w:rPr>
          <w:rFonts w:ascii="Arial" w:hAnsi="Arial" w:cs="Arial"/>
          <w:sz w:val="24"/>
          <w:szCs w:val="24"/>
        </w:rPr>
        <w:t xml:space="preserve">uma redução relativa de 40,2%. A discretização é útil para regras de política de crédito, mesmo com efeito </w:t>
      </w:r>
      <w:proofErr w:type="spellStart"/>
      <w:r w:rsidRPr="000566DD">
        <w:rPr>
          <w:rFonts w:ascii="Arial" w:hAnsi="Arial" w:cs="Arial"/>
          <w:sz w:val="24"/>
          <w:szCs w:val="24"/>
        </w:rPr>
        <w:t>univariado</w:t>
      </w:r>
      <w:proofErr w:type="spellEnd"/>
      <w:r w:rsidRPr="000566DD">
        <w:rPr>
          <w:rFonts w:ascii="Arial" w:hAnsi="Arial" w:cs="Arial"/>
          <w:sz w:val="24"/>
          <w:szCs w:val="24"/>
        </w:rPr>
        <w:t xml:space="preserve"> contínuo modesto.</w:t>
      </w:r>
    </w:p>
    <w:p w14:paraId="1550BA3B" w14:textId="77777777" w:rsidR="00776FC5" w:rsidRPr="00613C07" w:rsidRDefault="00776FC5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613C07">
        <w:rPr>
          <w:rFonts w:ascii="Arial" w:hAnsi="Arial" w:cs="Arial"/>
        </w:rPr>
        <w:br w:type="page"/>
      </w:r>
    </w:p>
    <w:p w14:paraId="393BFF9A" w14:textId="623C18DC" w:rsidR="00057C6D" w:rsidRPr="003B0E6F" w:rsidRDefault="00057C6D" w:rsidP="00B81699">
      <w:pPr>
        <w:pStyle w:val="Ttulo2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Finalidade do Crédito</w:t>
      </w:r>
    </w:p>
    <w:p w14:paraId="0A1A1CAC" w14:textId="475C1D0A" w:rsidR="00057C6D" w:rsidRPr="00613C07" w:rsidRDefault="00057C6D" w:rsidP="004E6AD7">
      <w:pPr>
        <w:spacing w:line="360" w:lineRule="auto"/>
        <w:rPr>
          <w:rFonts w:ascii="Arial" w:hAnsi="Arial" w:cs="Arial"/>
          <w:sz w:val="24"/>
          <w:szCs w:val="24"/>
        </w:rPr>
      </w:pPr>
    </w:p>
    <w:p w14:paraId="66EE2E8E" w14:textId="77777777" w:rsidR="008627B7" w:rsidRDefault="00954587" w:rsidP="008627B7">
      <w:pPr>
        <w:keepNext/>
        <w:spacing w:line="360" w:lineRule="auto"/>
        <w:jc w:val="both"/>
      </w:pPr>
      <w:r w:rsidRPr="0095458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F24E76" wp14:editId="77F6E7FE">
            <wp:extent cx="5400040" cy="3213735"/>
            <wp:effectExtent l="0" t="0" r="0" b="5715"/>
            <wp:docPr id="1064235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35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50A4" w14:textId="12BD0AF6" w:rsidR="008E7C33" w:rsidRPr="00613C07" w:rsidRDefault="008627B7" w:rsidP="008627B7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10</w:t>
        </w:r>
      </w:fldSimple>
      <w:r>
        <w:t xml:space="preserve"> - </w:t>
      </w:r>
      <w:r w:rsidRPr="00BA47FD">
        <w:t>Volume e taxa de inadimplência por finalidade do crédito.</w:t>
      </w:r>
    </w:p>
    <w:p w14:paraId="2C73011B" w14:textId="77777777" w:rsidR="008E7C33" w:rsidRPr="00613C07" w:rsidRDefault="008E7C33" w:rsidP="008E7C3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2"/>
        <w:gridCol w:w="2831"/>
        <w:gridCol w:w="2831"/>
      </w:tblGrid>
      <w:tr w:rsidR="00972F54" w14:paraId="69E97CDF" w14:textId="77777777" w:rsidTr="00972F54">
        <w:trPr>
          <w:tblHeader/>
          <w:jc w:val="center"/>
        </w:trPr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AE05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CEE7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Contratos (N)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72FE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de inadimplência</w:t>
            </w:r>
          </w:p>
        </w:tc>
      </w:tr>
      <w:tr w:rsidR="00972F54" w14:paraId="5BDF9E4F" w14:textId="77777777" w:rsidTr="00972F54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67EE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Consolidação de Dívidas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E508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5.309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605D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28,0%</w:t>
            </w:r>
          </w:p>
        </w:tc>
      </w:tr>
      <w:tr w:rsidR="00972F54" w14:paraId="3A4E219B" w14:textId="77777777" w:rsidTr="00972F54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2454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Reforma Lar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6602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3.550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3D1C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26,8%</w:t>
            </w:r>
          </w:p>
        </w:tc>
      </w:tr>
      <w:tr w:rsidR="00972F54" w14:paraId="66A7E693" w14:textId="77777777" w:rsidTr="00972F54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0741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Médico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418C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7825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26,7%</w:t>
            </w:r>
          </w:p>
        </w:tc>
      </w:tr>
      <w:tr w:rsidR="00972F54" w14:paraId="3B0325AD" w14:textId="77777777" w:rsidTr="00972F54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8C03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Pessoal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3D89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5.500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A8091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20,0%</w:t>
            </w:r>
          </w:p>
        </w:tc>
      </w:tr>
      <w:tr w:rsidR="00972F54" w14:paraId="2B79E8F8" w14:textId="77777777" w:rsidTr="00972F54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2003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Educação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D579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6.400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809D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17,2%</w:t>
            </w:r>
          </w:p>
        </w:tc>
      </w:tr>
      <w:tr w:rsidR="00972F54" w14:paraId="037BF15F" w14:textId="77777777" w:rsidTr="00972F54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3527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Empreendimento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08D0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5.650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DFEB" w14:textId="77777777" w:rsidR="00972F54" w:rsidRDefault="00972F54" w:rsidP="00972F54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15,0%</w:t>
            </w:r>
          </w:p>
        </w:tc>
      </w:tr>
    </w:tbl>
    <w:p w14:paraId="38589B57" w14:textId="77777777" w:rsidR="00972F54" w:rsidRDefault="00972F54" w:rsidP="00972F54">
      <w:pPr>
        <w:jc w:val="both"/>
      </w:pPr>
    </w:p>
    <w:p w14:paraId="4B41CF79" w14:textId="6FE12416" w:rsidR="00EA207C" w:rsidRPr="00972F54" w:rsidRDefault="00972F54" w:rsidP="00972F5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72F54">
        <w:rPr>
          <w:rFonts w:ascii="Arial" w:hAnsi="Arial" w:cs="Arial"/>
          <w:sz w:val="24"/>
          <w:szCs w:val="24"/>
        </w:rPr>
        <w:t xml:space="preserve">As finalidades associadas a necessidades reativas </w:t>
      </w:r>
      <w:r w:rsidR="003B0E6F">
        <w:rPr>
          <w:rFonts w:ascii="Arial" w:hAnsi="Arial" w:cs="Arial"/>
          <w:sz w:val="24"/>
          <w:szCs w:val="24"/>
        </w:rPr>
        <w:t>(</w:t>
      </w:r>
      <w:r w:rsidRPr="00972F54">
        <w:rPr>
          <w:rFonts w:ascii="Arial" w:hAnsi="Arial" w:cs="Arial"/>
          <w:sz w:val="24"/>
          <w:szCs w:val="24"/>
        </w:rPr>
        <w:t>Consolidação de Dívidas, Reforma Lar e Médico</w:t>
      </w:r>
      <w:r w:rsidR="003B0E6F">
        <w:rPr>
          <w:rFonts w:ascii="Arial" w:hAnsi="Arial" w:cs="Arial"/>
          <w:sz w:val="24"/>
          <w:szCs w:val="24"/>
        </w:rPr>
        <w:t>)</w:t>
      </w:r>
      <w:r w:rsidRPr="00972F54">
        <w:rPr>
          <w:rFonts w:ascii="Arial" w:hAnsi="Arial" w:cs="Arial"/>
          <w:sz w:val="24"/>
          <w:szCs w:val="24"/>
        </w:rPr>
        <w:t xml:space="preserve"> concentram as maiores taxas de default (26,7% a 28,0%). Finalidades mais associadas a planejamento prévio </w:t>
      </w:r>
      <w:r w:rsidR="003B0E6F">
        <w:rPr>
          <w:rFonts w:ascii="Arial" w:hAnsi="Arial" w:cs="Arial"/>
          <w:sz w:val="24"/>
          <w:szCs w:val="24"/>
        </w:rPr>
        <w:t>(</w:t>
      </w:r>
      <w:r w:rsidRPr="00972F54">
        <w:rPr>
          <w:rFonts w:ascii="Arial" w:hAnsi="Arial" w:cs="Arial"/>
          <w:sz w:val="24"/>
          <w:szCs w:val="24"/>
        </w:rPr>
        <w:t>Educação e Empreendimento</w:t>
      </w:r>
      <w:r w:rsidR="003B0E6F">
        <w:rPr>
          <w:rFonts w:ascii="Arial" w:hAnsi="Arial" w:cs="Arial"/>
          <w:sz w:val="24"/>
          <w:szCs w:val="24"/>
        </w:rPr>
        <w:t xml:space="preserve">) </w:t>
      </w:r>
      <w:r w:rsidRPr="00972F54">
        <w:rPr>
          <w:rFonts w:ascii="Arial" w:hAnsi="Arial" w:cs="Arial"/>
          <w:sz w:val="24"/>
          <w:szCs w:val="24"/>
        </w:rPr>
        <w:t xml:space="preserve">apresentam risco significativamente menor (15,0% e 17,2%). </w:t>
      </w:r>
      <w:r w:rsidRPr="00972F54">
        <w:rPr>
          <w:rFonts w:ascii="Arial" w:hAnsi="Arial" w:cs="Arial"/>
          <w:sz w:val="24"/>
          <w:szCs w:val="24"/>
        </w:rPr>
        <w:lastRenderedPageBreak/>
        <w:t>A diferença entre a maior e a menor taxa (quase o dobro) justifica réguas de DTI e exigência de garantias diferenciadas por finalidade.</w:t>
      </w:r>
      <w:r w:rsidR="00EA207C" w:rsidRPr="00613C07">
        <w:rPr>
          <w:rFonts w:ascii="Arial" w:hAnsi="Arial" w:cs="Arial"/>
          <w:sz w:val="24"/>
          <w:szCs w:val="24"/>
        </w:rPr>
        <w:br w:type="page"/>
      </w:r>
    </w:p>
    <w:p w14:paraId="767D69EE" w14:textId="1C74AF79" w:rsidR="00E55B30" w:rsidRPr="003B0E6F" w:rsidRDefault="008E4D0D" w:rsidP="00B81699">
      <w:pPr>
        <w:pStyle w:val="Ttulo2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3B0E6F">
        <w:rPr>
          <w:rFonts w:ascii="Arial" w:hAnsi="Arial" w:cs="Arial"/>
          <w:b/>
          <w:bCs/>
          <w:sz w:val="30"/>
          <w:szCs w:val="30"/>
        </w:rPr>
        <w:lastRenderedPageBreak/>
        <w:t>Taxa de Inadimplência por Tipo de Moradia</w:t>
      </w:r>
    </w:p>
    <w:p w14:paraId="4455D37C" w14:textId="0127EEBD" w:rsidR="00E55B30" w:rsidRPr="00613C07" w:rsidRDefault="00E55B30" w:rsidP="00E55B30">
      <w:pPr>
        <w:spacing w:line="360" w:lineRule="auto"/>
        <w:rPr>
          <w:rFonts w:ascii="Arial" w:hAnsi="Arial" w:cs="Arial"/>
          <w:sz w:val="24"/>
          <w:szCs w:val="24"/>
        </w:rPr>
      </w:pPr>
    </w:p>
    <w:p w14:paraId="7E3AC174" w14:textId="77777777" w:rsidR="00CD7C98" w:rsidRDefault="00E8782C" w:rsidP="00CD7C98">
      <w:pPr>
        <w:keepNext/>
        <w:spacing w:line="360" w:lineRule="auto"/>
        <w:jc w:val="both"/>
      </w:pPr>
      <w:r w:rsidRPr="00E8782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A4BD28" wp14:editId="25329A4A">
            <wp:extent cx="5400040" cy="2834640"/>
            <wp:effectExtent l="0" t="0" r="0" b="3810"/>
            <wp:docPr id="1159972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72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CFEF" w14:textId="7E55156E" w:rsidR="001B7E29" w:rsidRPr="00613C07" w:rsidRDefault="00CD7C98" w:rsidP="00CD7C98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11</w:t>
        </w:r>
      </w:fldSimple>
      <w:r>
        <w:t xml:space="preserve"> - </w:t>
      </w:r>
      <w:r w:rsidRPr="00C26491">
        <w:t>Taxa de inadimplência por tipo de moradia.</w:t>
      </w:r>
    </w:p>
    <w:p w14:paraId="3D9BD75B" w14:textId="77777777" w:rsidR="001B7E29" w:rsidRDefault="001B7E29" w:rsidP="00E70B6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BF3EB0" w14:paraId="172E028A" w14:textId="77777777" w:rsidTr="00BF3EB0">
        <w:trPr>
          <w:tblHeader/>
        </w:trPr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82F7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moradia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30AC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de inadimplência</w:t>
            </w:r>
          </w:p>
        </w:tc>
      </w:tr>
      <w:tr w:rsidR="00BF3EB0" w14:paraId="4063BFEA" w14:textId="77777777" w:rsidTr="00BF3EB0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299E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Aluguel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892A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31,6%</w:t>
            </w:r>
          </w:p>
        </w:tc>
      </w:tr>
      <w:tr w:rsidR="00BF3EB0" w14:paraId="04CAF3EF" w14:textId="77777777" w:rsidTr="00BF3EB0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3B90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Outros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EF0F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31,1%</w:t>
            </w:r>
          </w:p>
        </w:tc>
      </w:tr>
      <w:tr w:rsidR="00BF3EB0" w14:paraId="00239DCF" w14:textId="77777777" w:rsidTr="00BF3EB0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D75C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Financiado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E5D3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12,6%</w:t>
            </w:r>
          </w:p>
        </w:tc>
      </w:tr>
      <w:tr w:rsidR="00BF3EB0" w14:paraId="4BA329E4" w14:textId="77777777" w:rsidTr="00BF3EB0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AC9E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Próprio (quitado)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1FDC" w14:textId="77777777" w:rsidR="00BF3EB0" w:rsidRDefault="00BF3EB0" w:rsidP="00BF3EB0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7,5%</w:t>
            </w:r>
          </w:p>
        </w:tc>
      </w:tr>
    </w:tbl>
    <w:p w14:paraId="30464FDB" w14:textId="77777777" w:rsidR="00BF3EB0" w:rsidRDefault="00BF3EB0" w:rsidP="00BF3EB0">
      <w:pPr>
        <w:jc w:val="both"/>
      </w:pPr>
    </w:p>
    <w:p w14:paraId="4D8AEA1E" w14:textId="36E5FDCC" w:rsidR="00BF3EB0" w:rsidRPr="00BF3EB0" w:rsidRDefault="00BF3EB0" w:rsidP="00BF3EB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F3EB0">
        <w:rPr>
          <w:rFonts w:ascii="Arial" w:hAnsi="Arial" w:cs="Arial"/>
          <w:sz w:val="24"/>
          <w:szCs w:val="24"/>
        </w:rPr>
        <w:t>Locatários apresentam risco 4,2 vezes maior que proprietários com imóvel quitado (31,6% vs. 7,5%) e 2,5 vezes maior que clientes com imóvel financiado (31,6% vs. 12,6%). O baixo risco do grupo financiado sugere um efeito de seleção: esses clientes já passaram por um crivo de crédito habitacional prévio, o que por si só é um sinal de qualidade cadastral, e não necessariamente um efeito causal do regime de moradia.</w:t>
      </w:r>
    </w:p>
    <w:p w14:paraId="1D3246F7" w14:textId="77777777" w:rsidR="002E0578" w:rsidRPr="00613C07" w:rsidRDefault="002E0578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613C07">
        <w:rPr>
          <w:rFonts w:ascii="Arial" w:hAnsi="Arial" w:cs="Arial"/>
        </w:rPr>
        <w:br w:type="page"/>
      </w:r>
    </w:p>
    <w:p w14:paraId="37E594D0" w14:textId="0C86F070" w:rsidR="007971C4" w:rsidRPr="00C041E1" w:rsidRDefault="007A1C76" w:rsidP="007A1C76">
      <w:pPr>
        <w:pStyle w:val="Ttulo2"/>
        <w:numPr>
          <w:ilvl w:val="0"/>
          <w:numId w:val="2"/>
        </w:numPr>
        <w:spacing w:line="360" w:lineRule="auto"/>
        <w:ind w:left="851" w:hanging="491"/>
        <w:rPr>
          <w:rFonts w:ascii="Arial" w:hAnsi="Arial" w:cs="Arial"/>
          <w:b/>
          <w:bCs/>
          <w:sz w:val="30"/>
          <w:szCs w:val="30"/>
        </w:rPr>
      </w:pPr>
      <w:r w:rsidRPr="00C041E1">
        <w:rPr>
          <w:rFonts w:ascii="Arial" w:hAnsi="Arial" w:cs="Arial"/>
          <w:b/>
          <w:bCs/>
          <w:sz w:val="30"/>
          <w:szCs w:val="30"/>
        </w:rPr>
        <w:lastRenderedPageBreak/>
        <w:t>Taxa de Inadimplência por Histórico de Restrição</w:t>
      </w:r>
    </w:p>
    <w:p w14:paraId="7D8AC521" w14:textId="5C5CA51E" w:rsidR="007971C4" w:rsidRPr="00613C07" w:rsidRDefault="007971C4" w:rsidP="007971C4">
      <w:pPr>
        <w:spacing w:line="360" w:lineRule="auto"/>
        <w:rPr>
          <w:rFonts w:ascii="Arial" w:hAnsi="Arial" w:cs="Arial"/>
          <w:sz w:val="24"/>
          <w:szCs w:val="24"/>
        </w:rPr>
      </w:pPr>
    </w:p>
    <w:p w14:paraId="4882E69E" w14:textId="77777777" w:rsidR="00EB6935" w:rsidRDefault="00C35021" w:rsidP="00EB6935">
      <w:pPr>
        <w:keepNext/>
        <w:spacing w:line="360" w:lineRule="auto"/>
        <w:jc w:val="both"/>
      </w:pPr>
      <w:r w:rsidRPr="00C3502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DB9575" wp14:editId="5B73D96F">
            <wp:extent cx="5400040" cy="3475990"/>
            <wp:effectExtent l="0" t="0" r="0" b="0"/>
            <wp:docPr id="1253257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7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C7E4" w14:textId="20A9B5B9" w:rsidR="007E5C9B" w:rsidRPr="00613C07" w:rsidRDefault="00EB6935" w:rsidP="00EB6935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12</w:t>
        </w:r>
      </w:fldSimple>
      <w:r>
        <w:t xml:space="preserve"> - </w:t>
      </w:r>
      <w:r w:rsidRPr="003361DA">
        <w:t>Taxa de inadimplência por histórico de restrição prévia.</w:t>
      </w:r>
    </w:p>
    <w:p w14:paraId="0DCCD1F3" w14:textId="77777777" w:rsidR="007E5C9B" w:rsidRPr="00613C07" w:rsidRDefault="007E5C9B" w:rsidP="007E5C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25A6ED" w14:textId="67176C65" w:rsidR="007971C4" w:rsidRPr="00515B06" w:rsidRDefault="00515B06" w:rsidP="00515B0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15B06">
        <w:rPr>
          <w:rFonts w:ascii="Arial" w:hAnsi="Arial" w:cs="Arial"/>
          <w:sz w:val="24"/>
          <w:szCs w:val="24"/>
        </w:rPr>
        <w:t xml:space="preserve">Clientes com restrição prévia em bureau apresentam taxa de inadimplência atual de 37,9%, frente a 18,4% entre os sem restrição </w:t>
      </w:r>
      <w:r w:rsidR="00C95DB5">
        <w:rPr>
          <w:rFonts w:ascii="Arial" w:hAnsi="Arial" w:cs="Arial"/>
          <w:sz w:val="24"/>
          <w:szCs w:val="24"/>
        </w:rPr>
        <w:t>(</w:t>
      </w:r>
      <w:r w:rsidRPr="00515B06">
        <w:rPr>
          <w:rFonts w:ascii="Arial" w:hAnsi="Arial" w:cs="Arial"/>
          <w:sz w:val="24"/>
          <w:szCs w:val="24"/>
        </w:rPr>
        <w:t>risco 2,1 vezes maior</w:t>
      </w:r>
      <w:r w:rsidR="00C95DB5">
        <w:rPr>
          <w:rFonts w:ascii="Arial" w:hAnsi="Arial" w:cs="Arial"/>
          <w:sz w:val="24"/>
          <w:szCs w:val="24"/>
        </w:rPr>
        <w:t>)</w:t>
      </w:r>
      <w:r w:rsidRPr="00515B06">
        <w:rPr>
          <w:rFonts w:ascii="Arial" w:hAnsi="Arial" w:cs="Arial"/>
          <w:sz w:val="24"/>
          <w:szCs w:val="24"/>
        </w:rPr>
        <w:t>, e uma redução relativa de 51,5% ao migrar do primeiro para o segundo grupo. Ainda assim, 62,1% dos clientes com restrição prévia honram suas obrigações atuais, o que desaconselha o veto automático baseado apenas nesse atributo; o indicador deve compor um score multivariado, não atuar isoladamente.</w:t>
      </w:r>
    </w:p>
    <w:p w14:paraId="7281A2A5" w14:textId="77777777" w:rsidR="007971C4" w:rsidRPr="00613C07" w:rsidRDefault="007971C4" w:rsidP="007971C4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613C07">
        <w:rPr>
          <w:rFonts w:ascii="Arial" w:hAnsi="Arial" w:cs="Arial"/>
        </w:rPr>
        <w:br w:type="page"/>
      </w:r>
    </w:p>
    <w:p w14:paraId="71025E28" w14:textId="70D2FB82" w:rsidR="00EA207C" w:rsidRPr="00550CE9" w:rsidRDefault="001F5A9C" w:rsidP="007A1C76">
      <w:pPr>
        <w:pStyle w:val="Ttulo2"/>
        <w:numPr>
          <w:ilvl w:val="0"/>
          <w:numId w:val="2"/>
        </w:numPr>
        <w:spacing w:line="360" w:lineRule="auto"/>
        <w:ind w:left="851" w:hanging="491"/>
        <w:rPr>
          <w:rFonts w:ascii="Arial" w:hAnsi="Arial" w:cs="Arial"/>
          <w:b/>
          <w:bCs/>
          <w:sz w:val="30"/>
          <w:szCs w:val="30"/>
        </w:rPr>
      </w:pPr>
      <w:r w:rsidRPr="00550CE9">
        <w:rPr>
          <w:rFonts w:ascii="Arial" w:hAnsi="Arial" w:cs="Arial"/>
          <w:b/>
          <w:bCs/>
          <w:sz w:val="30"/>
          <w:szCs w:val="30"/>
        </w:rPr>
        <w:lastRenderedPageBreak/>
        <w:t>Taxa de Inadimplência por Grau de Classificação</w:t>
      </w:r>
    </w:p>
    <w:p w14:paraId="02E30A5D" w14:textId="77777777" w:rsidR="00EA207C" w:rsidRPr="00613C07" w:rsidRDefault="00EA207C" w:rsidP="004E6AD7">
      <w:pPr>
        <w:spacing w:line="360" w:lineRule="auto"/>
        <w:rPr>
          <w:rFonts w:ascii="Arial" w:hAnsi="Arial" w:cs="Arial"/>
          <w:sz w:val="24"/>
          <w:szCs w:val="24"/>
        </w:rPr>
      </w:pPr>
    </w:p>
    <w:p w14:paraId="3F3050D6" w14:textId="77777777" w:rsidR="0025279E" w:rsidRDefault="009F60B6" w:rsidP="0025279E">
      <w:pPr>
        <w:keepNext/>
        <w:spacing w:line="360" w:lineRule="auto"/>
        <w:jc w:val="both"/>
      </w:pPr>
      <w:r w:rsidRPr="009F60B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013956" wp14:editId="49A18264">
            <wp:extent cx="5400040" cy="2891790"/>
            <wp:effectExtent l="0" t="0" r="0" b="3810"/>
            <wp:docPr id="1493838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38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C624" w14:textId="3B939E87" w:rsidR="00F0137F" w:rsidRPr="00613C07" w:rsidRDefault="0025279E" w:rsidP="0025279E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13</w:t>
        </w:r>
      </w:fldSimple>
      <w:r>
        <w:t xml:space="preserve"> - </w:t>
      </w:r>
      <w:r w:rsidRPr="005C4F7D">
        <w:t>Volume e taxa de inadimplência por grau de risco (</w:t>
      </w:r>
      <w:proofErr w:type="spellStart"/>
      <w:r w:rsidRPr="005C4F7D">
        <w:t>loan_grade</w:t>
      </w:r>
      <w:proofErr w:type="spellEnd"/>
      <w:r w:rsidRPr="005C4F7D">
        <w:t>).</w:t>
      </w:r>
    </w:p>
    <w:p w14:paraId="0D2DA2A5" w14:textId="77777777" w:rsidR="00F0137F" w:rsidRDefault="00F0137F" w:rsidP="004E6AD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2"/>
        <w:gridCol w:w="2831"/>
        <w:gridCol w:w="2831"/>
      </w:tblGrid>
      <w:tr w:rsidR="004F4276" w14:paraId="63E70D52" w14:textId="77777777" w:rsidTr="00A86CCE">
        <w:trPr>
          <w:tblHeader/>
        </w:trPr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3000" w14:textId="77777777" w:rsidR="004F4276" w:rsidRDefault="004F4276" w:rsidP="00A86CCE"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48B8" w14:textId="77777777" w:rsidR="004F4276" w:rsidRDefault="004F4276" w:rsidP="00A86CCE">
            <w:r>
              <w:rPr>
                <w:b/>
                <w:bCs/>
                <w:color w:val="FFFFFF"/>
                <w:sz w:val="20"/>
                <w:szCs w:val="20"/>
              </w:rPr>
              <w:t>Contratos (N)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70B7" w14:textId="77777777" w:rsidR="004F4276" w:rsidRDefault="004F4276" w:rsidP="00A86CCE">
            <w:r>
              <w:rPr>
                <w:b/>
                <w:bCs/>
                <w:color w:val="FFFFFF"/>
                <w:sz w:val="20"/>
                <w:szCs w:val="20"/>
              </w:rPr>
              <w:t>Taxa de inadimplência</w:t>
            </w:r>
          </w:p>
        </w:tc>
      </w:tr>
      <w:tr w:rsidR="004F4276" w14:paraId="2F08EB3A" w14:textId="77777777" w:rsidTr="00A86CCE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FD4C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25C6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10.702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FC9D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9,96%</w:t>
            </w:r>
          </w:p>
        </w:tc>
      </w:tr>
      <w:tr w:rsidR="004F4276" w14:paraId="18194F9C" w14:textId="77777777" w:rsidTr="00A86CCE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E1E5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CF27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10.384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F784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16,32%</w:t>
            </w:r>
          </w:p>
        </w:tc>
      </w:tr>
      <w:tr w:rsidR="004F4276" w14:paraId="79AAAC7B" w14:textId="77777777" w:rsidTr="00A86CCE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C02F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7A81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6.436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7FE0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20,76%</w:t>
            </w:r>
          </w:p>
        </w:tc>
      </w:tr>
      <w:tr w:rsidR="004F4276" w14:paraId="708B3F9A" w14:textId="77777777" w:rsidTr="00A86CCE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F168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ED08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3.619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4C55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59,05%</w:t>
            </w:r>
          </w:p>
        </w:tc>
      </w:tr>
      <w:tr w:rsidR="004F4276" w14:paraId="5C042CA0" w14:textId="77777777" w:rsidTr="00A86CCE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F859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3C7B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963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25D4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64,49%</w:t>
            </w:r>
          </w:p>
        </w:tc>
      </w:tr>
      <w:tr w:rsidR="004F4276" w14:paraId="44296B2F" w14:textId="77777777" w:rsidTr="00A86CCE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E492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84D7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241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F0BE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70,54%</w:t>
            </w:r>
          </w:p>
        </w:tc>
      </w:tr>
      <w:tr w:rsidR="004F4276" w14:paraId="4D753785" w14:textId="77777777" w:rsidTr="00A86CCE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D2D4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BFF1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71D8" w14:textId="77777777" w:rsidR="004F4276" w:rsidRDefault="004F4276" w:rsidP="00A86CCE">
            <w:r>
              <w:rPr>
                <w:color w:val="000000"/>
                <w:sz w:val="20"/>
                <w:szCs w:val="20"/>
              </w:rPr>
              <w:t>98,44%</w:t>
            </w:r>
          </w:p>
        </w:tc>
      </w:tr>
    </w:tbl>
    <w:p w14:paraId="57534659" w14:textId="77777777" w:rsidR="004F4276" w:rsidRDefault="004F4276" w:rsidP="004F4276">
      <w:pPr>
        <w:jc w:val="both"/>
      </w:pPr>
    </w:p>
    <w:p w14:paraId="2129FE3A" w14:textId="77777777" w:rsidR="004F4276" w:rsidRDefault="004F4276" w:rsidP="004F427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4DFD12B" w14:textId="6F98D5A0" w:rsidR="004F4276" w:rsidRPr="00B22309" w:rsidRDefault="004F4276" w:rsidP="00B2230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F4276">
        <w:rPr>
          <w:rFonts w:ascii="Arial" w:hAnsi="Arial" w:cs="Arial"/>
          <w:sz w:val="24"/>
          <w:szCs w:val="24"/>
        </w:rPr>
        <w:t xml:space="preserve">A curva de inadimplência é estritamente crescente de A </w:t>
      </w:r>
      <w:proofErr w:type="spellStart"/>
      <w:r w:rsidRPr="004F4276">
        <w:rPr>
          <w:rFonts w:ascii="Arial" w:hAnsi="Arial" w:cs="Arial"/>
          <w:sz w:val="24"/>
          <w:szCs w:val="24"/>
        </w:rPr>
        <w:t>a</w:t>
      </w:r>
      <w:proofErr w:type="spellEnd"/>
      <w:r w:rsidRPr="004F4276">
        <w:rPr>
          <w:rFonts w:ascii="Arial" w:hAnsi="Arial" w:cs="Arial"/>
          <w:sz w:val="24"/>
          <w:szCs w:val="24"/>
        </w:rPr>
        <w:t xml:space="preserve"> G, o que evidencia que o escore interno do </w:t>
      </w:r>
      <w:proofErr w:type="spellStart"/>
      <w:r w:rsidRPr="004F4276">
        <w:rPr>
          <w:rFonts w:ascii="Arial" w:hAnsi="Arial" w:cs="Arial"/>
          <w:sz w:val="24"/>
          <w:szCs w:val="24"/>
        </w:rPr>
        <w:t>ApexBank</w:t>
      </w:r>
      <w:proofErr w:type="spellEnd"/>
      <w:r w:rsidRPr="004F4276">
        <w:rPr>
          <w:rFonts w:ascii="Arial" w:hAnsi="Arial" w:cs="Arial"/>
          <w:sz w:val="24"/>
          <w:szCs w:val="24"/>
        </w:rPr>
        <w:t xml:space="preserve"> ordena bem o risco (</w:t>
      </w:r>
      <w:proofErr w:type="spellStart"/>
      <w:r w:rsidRPr="004F4276">
        <w:rPr>
          <w:rFonts w:ascii="Arial" w:hAnsi="Arial" w:cs="Arial"/>
          <w:sz w:val="24"/>
          <w:szCs w:val="24"/>
        </w:rPr>
        <w:t>risk</w:t>
      </w:r>
      <w:proofErr w:type="spellEnd"/>
      <w:r w:rsidRPr="004F42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4276">
        <w:rPr>
          <w:rFonts w:ascii="Arial" w:hAnsi="Arial" w:cs="Arial"/>
          <w:sz w:val="24"/>
          <w:szCs w:val="24"/>
        </w:rPr>
        <w:t>sorting</w:t>
      </w:r>
      <w:proofErr w:type="spellEnd"/>
      <w:r w:rsidRPr="004F4276">
        <w:rPr>
          <w:rFonts w:ascii="Arial" w:hAnsi="Arial" w:cs="Arial"/>
          <w:sz w:val="24"/>
          <w:szCs w:val="24"/>
        </w:rPr>
        <w:t xml:space="preserve">). Há, contudo, uma quebra estrutural entre os Graus C (20,76%) e D (59,05%) </w:t>
      </w:r>
      <w:r w:rsidR="009D1263">
        <w:rPr>
          <w:rFonts w:ascii="Arial" w:hAnsi="Arial" w:cs="Arial"/>
          <w:sz w:val="24"/>
          <w:szCs w:val="24"/>
        </w:rPr>
        <w:t>e</w:t>
      </w:r>
      <w:r w:rsidRPr="004F4276">
        <w:rPr>
          <w:rFonts w:ascii="Arial" w:hAnsi="Arial" w:cs="Arial"/>
          <w:sz w:val="24"/>
          <w:szCs w:val="24"/>
        </w:rPr>
        <w:t xml:space="preserve"> a partir daí, </w:t>
      </w:r>
      <w:r w:rsidRPr="004F4276">
        <w:rPr>
          <w:rFonts w:ascii="Arial" w:hAnsi="Arial" w:cs="Arial"/>
          <w:sz w:val="24"/>
          <w:szCs w:val="24"/>
        </w:rPr>
        <w:lastRenderedPageBreak/>
        <w:t xml:space="preserve">mais da metade dos contratos entra em default. O Grau G, apesar de baixa volumetria (N = 64), tem intervalo de Wilson (95%) entre 91,67% e 99,72%, confirmando que a taxa extrema não é </w:t>
      </w:r>
      <w:proofErr w:type="gramStart"/>
      <w:r w:rsidRPr="004F4276">
        <w:rPr>
          <w:rFonts w:ascii="Arial" w:hAnsi="Arial" w:cs="Arial"/>
          <w:sz w:val="24"/>
          <w:szCs w:val="24"/>
        </w:rPr>
        <w:t>ruído</w:t>
      </w:r>
      <w:proofErr w:type="gramEnd"/>
      <w:r w:rsidRPr="004F4276">
        <w:rPr>
          <w:rFonts w:ascii="Arial" w:hAnsi="Arial" w:cs="Arial"/>
          <w:sz w:val="24"/>
          <w:szCs w:val="24"/>
        </w:rPr>
        <w:t xml:space="preserve"> amostral. Como o Grade é um escore derivado de outras variáveis do cliente, seu uso em modelos preditivos futuros exige atenção ao risco de vazamento de </w:t>
      </w:r>
      <w:r w:rsidRPr="00B22309">
        <w:rPr>
          <w:rFonts w:ascii="Arial" w:hAnsi="Arial" w:cs="Arial"/>
          <w:sz w:val="24"/>
          <w:szCs w:val="24"/>
        </w:rPr>
        <w:t>meta (</w:t>
      </w:r>
      <w:r w:rsidR="00B22309" w:rsidRPr="00B22309">
        <w:rPr>
          <w:rFonts w:ascii="Arial" w:hAnsi="Arial" w:cs="Arial"/>
          <w:sz w:val="24"/>
          <w:szCs w:val="24"/>
        </w:rPr>
        <w:t>conforme</w:t>
      </w:r>
      <w:r w:rsidRPr="00B22309">
        <w:rPr>
          <w:rFonts w:ascii="Arial" w:hAnsi="Arial" w:cs="Arial"/>
          <w:sz w:val="24"/>
          <w:szCs w:val="24"/>
        </w:rPr>
        <w:t xml:space="preserve"> </w:t>
      </w:r>
      <w:r w:rsidR="00B22309" w:rsidRPr="00B22309">
        <w:rPr>
          <w:rFonts w:ascii="Arial" w:hAnsi="Arial" w:cs="Arial"/>
          <w:sz w:val="24"/>
          <w:szCs w:val="24"/>
        </w:rPr>
        <w:t>“Limitações do Estudo”</w:t>
      </w:r>
      <w:r w:rsidRPr="00B22309">
        <w:rPr>
          <w:rFonts w:ascii="Arial" w:hAnsi="Arial" w:cs="Arial"/>
          <w:sz w:val="24"/>
          <w:szCs w:val="24"/>
        </w:rPr>
        <w:t>).</w:t>
      </w:r>
    </w:p>
    <w:p w14:paraId="0A9B8025" w14:textId="19CDDECD" w:rsidR="00797835" w:rsidRPr="00613C07" w:rsidRDefault="00797835" w:rsidP="0079783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43CB9F" w14:textId="77777777" w:rsidR="00EA207C" w:rsidRPr="00613C07" w:rsidRDefault="00EA207C" w:rsidP="004E6AD7">
      <w:pPr>
        <w:spacing w:line="360" w:lineRule="auto"/>
        <w:rPr>
          <w:rFonts w:ascii="Arial" w:hAnsi="Arial" w:cs="Arial"/>
          <w:sz w:val="24"/>
          <w:szCs w:val="24"/>
        </w:rPr>
      </w:pPr>
      <w:r w:rsidRPr="00613C07">
        <w:rPr>
          <w:rFonts w:ascii="Arial" w:hAnsi="Arial" w:cs="Arial"/>
          <w:sz w:val="24"/>
          <w:szCs w:val="24"/>
        </w:rPr>
        <w:br w:type="page"/>
      </w:r>
    </w:p>
    <w:p w14:paraId="41EC2662" w14:textId="1F27334B" w:rsidR="00F402F6" w:rsidRPr="00B22309" w:rsidRDefault="00F402F6" w:rsidP="005F74A9">
      <w:pPr>
        <w:pStyle w:val="Ttulo2"/>
        <w:numPr>
          <w:ilvl w:val="0"/>
          <w:numId w:val="2"/>
        </w:numPr>
        <w:spacing w:line="360" w:lineRule="auto"/>
        <w:ind w:left="851" w:hanging="491"/>
        <w:jc w:val="both"/>
        <w:rPr>
          <w:rFonts w:ascii="Arial" w:hAnsi="Arial" w:cs="Arial"/>
          <w:b/>
          <w:bCs/>
          <w:sz w:val="30"/>
          <w:szCs w:val="30"/>
        </w:rPr>
      </w:pPr>
      <w:r w:rsidRPr="00B22309">
        <w:rPr>
          <w:rFonts w:ascii="Arial" w:hAnsi="Arial" w:cs="Arial"/>
          <w:b/>
          <w:bCs/>
          <w:sz w:val="30"/>
          <w:szCs w:val="30"/>
        </w:rPr>
        <w:lastRenderedPageBreak/>
        <w:t>Análise de Idade (</w:t>
      </w:r>
      <w:proofErr w:type="spellStart"/>
      <w:r w:rsidRPr="00B22309">
        <w:rPr>
          <w:rFonts w:ascii="Arial" w:hAnsi="Arial" w:cs="Arial"/>
          <w:b/>
          <w:bCs/>
          <w:sz w:val="30"/>
          <w:szCs w:val="30"/>
        </w:rPr>
        <w:t>person_age</w:t>
      </w:r>
      <w:proofErr w:type="spellEnd"/>
      <w:r w:rsidRPr="00B22309">
        <w:rPr>
          <w:rFonts w:ascii="Arial" w:hAnsi="Arial" w:cs="Arial"/>
          <w:b/>
          <w:bCs/>
          <w:sz w:val="30"/>
          <w:szCs w:val="30"/>
        </w:rPr>
        <w:t>)</w:t>
      </w:r>
    </w:p>
    <w:p w14:paraId="1B8955B8" w14:textId="10C1678E" w:rsidR="00F402F6" w:rsidRPr="00613C07" w:rsidRDefault="00F402F6" w:rsidP="00F402F6">
      <w:pPr>
        <w:spacing w:line="360" w:lineRule="auto"/>
        <w:rPr>
          <w:rFonts w:ascii="Arial" w:hAnsi="Arial" w:cs="Arial"/>
          <w:sz w:val="24"/>
          <w:szCs w:val="24"/>
        </w:rPr>
      </w:pPr>
    </w:p>
    <w:p w14:paraId="6C498D2F" w14:textId="77777777" w:rsidR="0046243F" w:rsidRDefault="006F3F7B" w:rsidP="0046243F">
      <w:pPr>
        <w:keepNext/>
        <w:spacing w:line="360" w:lineRule="auto"/>
        <w:jc w:val="both"/>
      </w:pPr>
      <w:r w:rsidRPr="006F3F7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82B063" wp14:editId="79746F41">
            <wp:extent cx="5400040" cy="2769870"/>
            <wp:effectExtent l="0" t="0" r="0" b="0"/>
            <wp:docPr id="533510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0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05E6" w14:textId="2089E83B" w:rsidR="00650FA1" w:rsidRPr="00613C07" w:rsidRDefault="0046243F" w:rsidP="0046243F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14</w:t>
        </w:r>
      </w:fldSimple>
      <w:r>
        <w:t xml:space="preserve"> - </w:t>
      </w:r>
      <w:r w:rsidRPr="00AC2787">
        <w:t>Distribuição da idade por status do empréstimo.</w:t>
      </w:r>
    </w:p>
    <w:p w14:paraId="7E391692" w14:textId="77777777" w:rsidR="00650FA1" w:rsidRPr="00613C07" w:rsidRDefault="00650FA1" w:rsidP="001C70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D58F36" w14:textId="3C7AB37D" w:rsidR="00F402F6" w:rsidRPr="00B22309" w:rsidRDefault="003712FB" w:rsidP="003712F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22309">
        <w:rPr>
          <w:rFonts w:ascii="Arial" w:hAnsi="Arial" w:cs="Arial"/>
          <w:sz w:val="24"/>
          <w:szCs w:val="24"/>
        </w:rPr>
        <w:t>As distribuições de idade entre adimplentes (mediana de 26 anos) e inadimplentes (mediana de 26 anos) são quase idênticas, com IQR idêntico (23</w:t>
      </w:r>
      <w:r w:rsidR="00B22309" w:rsidRPr="00B22309">
        <w:rPr>
          <w:rFonts w:ascii="Arial" w:hAnsi="Arial" w:cs="Arial"/>
          <w:sz w:val="24"/>
          <w:szCs w:val="24"/>
        </w:rPr>
        <w:t>-</w:t>
      </w:r>
      <w:r w:rsidRPr="00B22309">
        <w:rPr>
          <w:rFonts w:ascii="Arial" w:hAnsi="Arial" w:cs="Arial"/>
          <w:sz w:val="24"/>
          <w:szCs w:val="24"/>
        </w:rPr>
        <w:t>30 anos). O Mann-Whitney U detecta diferença estatisticamente significativa (p = 5,21×10</w:t>
      </w:r>
      <w:r w:rsidRPr="00B22309">
        <w:rPr>
          <w:rFonts w:ascii="Cambria Math" w:hAnsi="Cambria Math" w:cs="Cambria Math"/>
          <w:sz w:val="24"/>
          <w:szCs w:val="24"/>
        </w:rPr>
        <w:t>⁻</w:t>
      </w:r>
      <w:r w:rsidRPr="00B22309">
        <w:rPr>
          <w:rFonts w:ascii="Arial" w:hAnsi="Arial" w:cs="Arial"/>
          <w:sz w:val="24"/>
          <w:szCs w:val="24"/>
        </w:rPr>
        <w:t>¹⁰), mas</w:t>
      </w:r>
      <w:r w:rsidR="00B22309" w:rsidRPr="00B22309">
        <w:rPr>
          <w:rFonts w:ascii="Arial" w:hAnsi="Arial" w:cs="Arial"/>
          <w:sz w:val="24"/>
          <w:szCs w:val="24"/>
        </w:rPr>
        <w:t>,</w:t>
      </w:r>
      <w:r w:rsidRPr="00B22309">
        <w:rPr>
          <w:rFonts w:ascii="Arial" w:hAnsi="Arial" w:cs="Arial"/>
          <w:sz w:val="24"/>
          <w:szCs w:val="24"/>
        </w:rPr>
        <w:t xml:space="preserve"> como no caso do tempo de emprego</w:t>
      </w:r>
      <w:r w:rsidR="00B22309" w:rsidRPr="00B22309">
        <w:rPr>
          <w:rFonts w:ascii="Arial" w:hAnsi="Arial" w:cs="Arial"/>
          <w:sz w:val="24"/>
          <w:szCs w:val="24"/>
        </w:rPr>
        <w:t>,</w:t>
      </w:r>
      <w:r w:rsidRPr="00B22309">
        <w:rPr>
          <w:rFonts w:ascii="Arial" w:hAnsi="Arial" w:cs="Arial"/>
          <w:sz w:val="24"/>
          <w:szCs w:val="24"/>
        </w:rPr>
        <w:t xml:space="preserve"> isso decorre do alto poder estatístico da amostra (N = 32.409) para captar diferenças sutis nas caudas da distribuição, não de um efeito prático relevante. A idade contínua isolada tem poder discriminatório nulo para fins operacionais.</w:t>
      </w:r>
    </w:p>
    <w:p w14:paraId="32E3B58D" w14:textId="77777777" w:rsidR="00F402F6" w:rsidRPr="00613C07" w:rsidRDefault="00F402F6" w:rsidP="00F81E72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3C07">
        <w:rPr>
          <w:rFonts w:ascii="Arial" w:hAnsi="Arial" w:cs="Arial"/>
          <w:sz w:val="24"/>
          <w:szCs w:val="24"/>
        </w:rPr>
        <w:br w:type="page"/>
      </w:r>
    </w:p>
    <w:p w14:paraId="114E4C3A" w14:textId="1134576A" w:rsidR="00EA207C" w:rsidRPr="00B22309" w:rsidRDefault="00901658" w:rsidP="00F402F6">
      <w:pPr>
        <w:pStyle w:val="Ttulo2"/>
        <w:numPr>
          <w:ilvl w:val="0"/>
          <w:numId w:val="25"/>
        </w:numPr>
        <w:spacing w:line="360" w:lineRule="auto"/>
        <w:ind w:left="851" w:hanging="491"/>
        <w:jc w:val="both"/>
        <w:rPr>
          <w:rFonts w:ascii="Arial" w:hAnsi="Arial" w:cs="Arial"/>
          <w:b/>
          <w:bCs/>
          <w:sz w:val="30"/>
          <w:szCs w:val="30"/>
        </w:rPr>
      </w:pPr>
      <w:r w:rsidRPr="00B22309">
        <w:rPr>
          <w:rFonts w:ascii="Arial" w:hAnsi="Arial" w:cs="Arial"/>
          <w:b/>
          <w:bCs/>
          <w:sz w:val="30"/>
          <w:szCs w:val="30"/>
        </w:rPr>
        <w:lastRenderedPageBreak/>
        <w:t>Taxa de Inadimplência por Faixa Etária</w:t>
      </w:r>
    </w:p>
    <w:p w14:paraId="03CEFA2E" w14:textId="44967EC3" w:rsidR="00EA207C" w:rsidRPr="00613C07" w:rsidRDefault="00EA207C" w:rsidP="004E6AD7">
      <w:pPr>
        <w:spacing w:line="360" w:lineRule="auto"/>
        <w:rPr>
          <w:rFonts w:ascii="Arial" w:hAnsi="Arial" w:cs="Arial"/>
          <w:sz w:val="24"/>
          <w:szCs w:val="24"/>
        </w:rPr>
      </w:pPr>
    </w:p>
    <w:p w14:paraId="39F7A6EA" w14:textId="77777777" w:rsidR="003956D8" w:rsidRDefault="00166423" w:rsidP="003956D8">
      <w:pPr>
        <w:keepNext/>
        <w:spacing w:line="360" w:lineRule="auto"/>
        <w:jc w:val="both"/>
      </w:pPr>
      <w:r w:rsidRPr="001664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FAF28E" wp14:editId="35CAC079">
            <wp:extent cx="5400040" cy="2834640"/>
            <wp:effectExtent l="0" t="0" r="0" b="3810"/>
            <wp:docPr id="1210461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1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F1CF" w14:textId="4A9B279E" w:rsidR="00886C90" w:rsidRPr="00613C07" w:rsidRDefault="003956D8" w:rsidP="003956D8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15</w:t>
        </w:r>
      </w:fldSimple>
      <w:r>
        <w:t xml:space="preserve"> - </w:t>
      </w:r>
      <w:r w:rsidRPr="00484548">
        <w:t>Taxa de inadimplência por faixa etária.</w:t>
      </w:r>
    </w:p>
    <w:p w14:paraId="26D08D20" w14:textId="77777777" w:rsidR="00886C90" w:rsidRPr="00613C07" w:rsidRDefault="00886C90" w:rsidP="00605E3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E14D87" w14:paraId="7105AA98" w14:textId="77777777" w:rsidTr="003956D8">
        <w:trPr>
          <w:tblHeader/>
        </w:trPr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EB12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Faixa etária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06E0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de inadimplência</w:t>
            </w:r>
          </w:p>
        </w:tc>
      </w:tr>
      <w:tr w:rsidR="00E14D87" w14:paraId="447FA075" w14:textId="77777777" w:rsidTr="003956D8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86A7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Até 25 anos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6AD8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23,1%</w:t>
            </w:r>
          </w:p>
        </w:tc>
      </w:tr>
      <w:tr w:rsidR="00E14D87" w14:paraId="66B86F57" w14:textId="77777777" w:rsidTr="003956D8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927D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26 a 35 anos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AFCF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20,7%</w:t>
            </w:r>
          </w:p>
        </w:tc>
      </w:tr>
      <w:tr w:rsidR="00E14D87" w14:paraId="7061FE7E" w14:textId="77777777" w:rsidTr="003956D8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3FF6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36 a 50 anos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94A9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20,6%</w:t>
            </w:r>
          </w:p>
        </w:tc>
      </w:tr>
      <w:tr w:rsidR="00E14D87" w14:paraId="78C8259B" w14:textId="77777777" w:rsidTr="003956D8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2593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Mais de 50 anos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77B5" w14:textId="77777777" w:rsidR="00E14D87" w:rsidRDefault="00E14D87" w:rsidP="003956D8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25,8%</w:t>
            </w:r>
          </w:p>
        </w:tc>
      </w:tr>
    </w:tbl>
    <w:p w14:paraId="44FB23E9" w14:textId="77777777" w:rsidR="00E14D87" w:rsidRDefault="00E14D87" w:rsidP="00E14D87">
      <w:pPr>
        <w:jc w:val="both"/>
      </w:pPr>
    </w:p>
    <w:p w14:paraId="203375CB" w14:textId="23606B25" w:rsidR="00434762" w:rsidRPr="003956D8" w:rsidRDefault="00E14D87" w:rsidP="003956D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956D8">
        <w:rPr>
          <w:rFonts w:ascii="Arial" w:hAnsi="Arial" w:cs="Arial"/>
          <w:sz w:val="24"/>
          <w:szCs w:val="24"/>
        </w:rPr>
        <w:t>A estratificação por faixa etária revela um padrão em "U": risco mais alto nos extremos (jovens até 25 anos e sêniores acima de 50 anos) e mínimo na faixa de 36 a 50 anos. O salto entre a faixa de menor risco (20,6%) e a faixa sênior (25,8%) representa um aumento relativo de 25,2%. Esse padrão contraria a premissa de que a idade avançada seria, isoladamente, um mitigador de risco, e motiva o cruzamento com a finalidade do crédito na próxima seção.</w:t>
      </w:r>
    </w:p>
    <w:p w14:paraId="7419F61C" w14:textId="77777777" w:rsidR="00071393" w:rsidRPr="00613C07" w:rsidRDefault="00071393" w:rsidP="004E6AD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8CA50C" w14:textId="77777777" w:rsidR="00886C90" w:rsidRPr="00613C07" w:rsidRDefault="00886C90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613C07">
        <w:rPr>
          <w:rFonts w:ascii="Arial" w:hAnsi="Arial" w:cs="Arial"/>
        </w:rPr>
        <w:br w:type="page"/>
      </w:r>
    </w:p>
    <w:p w14:paraId="1CFFE2E1" w14:textId="0B47B237" w:rsidR="001D1343" w:rsidRPr="00B22309" w:rsidRDefault="000C412C" w:rsidP="00886C90">
      <w:pPr>
        <w:pStyle w:val="Ttulo2"/>
        <w:numPr>
          <w:ilvl w:val="0"/>
          <w:numId w:val="27"/>
        </w:numPr>
        <w:spacing w:line="360" w:lineRule="auto"/>
        <w:ind w:left="851" w:hanging="491"/>
        <w:jc w:val="both"/>
        <w:rPr>
          <w:rFonts w:ascii="Arial" w:hAnsi="Arial" w:cs="Arial"/>
          <w:b/>
          <w:bCs/>
          <w:sz w:val="30"/>
          <w:szCs w:val="30"/>
        </w:rPr>
      </w:pPr>
      <w:r w:rsidRPr="00B22309">
        <w:rPr>
          <w:rFonts w:ascii="Arial" w:hAnsi="Arial" w:cs="Arial"/>
          <w:b/>
          <w:bCs/>
          <w:sz w:val="30"/>
          <w:szCs w:val="30"/>
        </w:rPr>
        <w:lastRenderedPageBreak/>
        <w:t>Cruzamento de Risco: Taxa por Faixa Etária e Finalidade</w:t>
      </w:r>
    </w:p>
    <w:p w14:paraId="1FAFA150" w14:textId="3014B418" w:rsidR="001D1343" w:rsidRPr="00613C07" w:rsidRDefault="001D1343" w:rsidP="001D1343">
      <w:pPr>
        <w:spacing w:line="360" w:lineRule="auto"/>
        <w:rPr>
          <w:rFonts w:ascii="Arial" w:hAnsi="Arial" w:cs="Arial"/>
          <w:sz w:val="24"/>
          <w:szCs w:val="24"/>
        </w:rPr>
      </w:pPr>
    </w:p>
    <w:p w14:paraId="263DF7CB" w14:textId="77777777" w:rsidR="00FB1E7D" w:rsidRDefault="009569B1" w:rsidP="00FB1E7D">
      <w:pPr>
        <w:keepNext/>
        <w:spacing w:line="360" w:lineRule="auto"/>
        <w:jc w:val="both"/>
      </w:pPr>
      <w:r w:rsidRPr="009569B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CEB2B6" wp14:editId="231BB995">
            <wp:extent cx="5400040" cy="3370580"/>
            <wp:effectExtent l="0" t="0" r="0" b="1270"/>
            <wp:docPr id="64249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9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075F" w14:textId="32F0136B" w:rsidR="00C1415B" w:rsidRPr="00613C07" w:rsidRDefault="00FB1E7D" w:rsidP="00FB1E7D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0E3BE3">
          <w:rPr>
            <w:noProof/>
          </w:rPr>
          <w:t>16</w:t>
        </w:r>
      </w:fldSimple>
      <w:r>
        <w:t xml:space="preserve"> - </w:t>
      </w:r>
      <w:r w:rsidRPr="00750131">
        <w:t>Taxa de inadimplência por faixa etária e finalidade do crédito, com volumetria (N) por célula.</w:t>
      </w:r>
    </w:p>
    <w:p w14:paraId="4ED4DAEA" w14:textId="77777777" w:rsidR="00C1415B" w:rsidRPr="00613C07" w:rsidRDefault="00C1415B" w:rsidP="00594D9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407076" w14:textId="3D2C1302" w:rsidR="00971C8A" w:rsidRPr="00971C8A" w:rsidRDefault="00971C8A" w:rsidP="00971C8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71C8A">
        <w:rPr>
          <w:rFonts w:ascii="Arial" w:hAnsi="Arial" w:cs="Arial"/>
          <w:sz w:val="24"/>
          <w:szCs w:val="24"/>
        </w:rPr>
        <w:t>O cruzamento bivariado mostra taxas de inadimplência entre 10,7% (36</w:t>
      </w:r>
      <w:r w:rsidR="00B22309">
        <w:rPr>
          <w:rFonts w:ascii="Arial" w:hAnsi="Arial" w:cs="Arial"/>
          <w:sz w:val="24"/>
          <w:szCs w:val="24"/>
        </w:rPr>
        <w:t>-</w:t>
      </w:r>
      <w:r w:rsidRPr="00971C8A">
        <w:rPr>
          <w:rFonts w:ascii="Arial" w:hAnsi="Arial" w:cs="Arial"/>
          <w:sz w:val="24"/>
          <w:szCs w:val="24"/>
        </w:rPr>
        <w:t>50 anos, Empreendimento) e 58,8% (acima de 50 anos, Consolidação de Dívidas)</w:t>
      </w:r>
      <w:r w:rsidR="007C5962">
        <w:rPr>
          <w:rFonts w:ascii="Arial" w:hAnsi="Arial" w:cs="Arial"/>
          <w:sz w:val="24"/>
          <w:szCs w:val="24"/>
        </w:rPr>
        <w:t>, sendo</w:t>
      </w:r>
      <w:r w:rsidRPr="00971C8A">
        <w:rPr>
          <w:rFonts w:ascii="Arial" w:hAnsi="Arial" w:cs="Arial"/>
          <w:sz w:val="24"/>
          <w:szCs w:val="24"/>
        </w:rPr>
        <w:t xml:space="preserve"> uma amplitude de 5,5 vezes que não é visível nas análises </w:t>
      </w:r>
      <w:proofErr w:type="spellStart"/>
      <w:r w:rsidRPr="00971C8A">
        <w:rPr>
          <w:rFonts w:ascii="Arial" w:hAnsi="Arial" w:cs="Arial"/>
          <w:sz w:val="24"/>
          <w:szCs w:val="24"/>
        </w:rPr>
        <w:t>univariadas</w:t>
      </w:r>
      <w:proofErr w:type="spellEnd"/>
      <w:r w:rsidRPr="00971C8A">
        <w:rPr>
          <w:rFonts w:ascii="Arial" w:hAnsi="Arial" w:cs="Arial"/>
          <w:sz w:val="24"/>
          <w:szCs w:val="24"/>
        </w:rPr>
        <w:t xml:space="preserve"> de idade ou finalidade isoladas.</w:t>
      </w:r>
    </w:p>
    <w:p w14:paraId="632728F8" w14:textId="1DB16757" w:rsidR="00971C8A" w:rsidRPr="00971C8A" w:rsidRDefault="00971C8A" w:rsidP="00971C8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71C8A">
        <w:rPr>
          <w:rFonts w:ascii="Arial" w:hAnsi="Arial" w:cs="Arial"/>
          <w:sz w:val="24"/>
          <w:szCs w:val="24"/>
        </w:rPr>
        <w:t xml:space="preserve">Ressalva metodológica importante: as células referentes a clientes acima de 50 anos têm volumetria baixa (N entre 17 e 136). A célula de maior risco aparente </w:t>
      </w:r>
      <w:r w:rsidR="007C5962">
        <w:rPr>
          <w:rFonts w:ascii="Arial" w:hAnsi="Arial" w:cs="Arial"/>
          <w:sz w:val="24"/>
          <w:szCs w:val="24"/>
        </w:rPr>
        <w:t>(</w:t>
      </w:r>
      <w:r w:rsidRPr="00971C8A">
        <w:rPr>
          <w:rFonts w:ascii="Arial" w:hAnsi="Arial" w:cs="Arial"/>
          <w:sz w:val="24"/>
          <w:szCs w:val="24"/>
        </w:rPr>
        <w:t xml:space="preserve">Reforma Lar em maiores de 50 anos </w:t>
      </w:r>
      <w:r w:rsidR="007C5962">
        <w:rPr>
          <w:rFonts w:ascii="Arial" w:hAnsi="Arial" w:cs="Arial"/>
          <w:sz w:val="24"/>
          <w:szCs w:val="24"/>
        </w:rPr>
        <w:t xml:space="preserve">- </w:t>
      </w:r>
      <w:r w:rsidRPr="00971C8A">
        <w:rPr>
          <w:rFonts w:ascii="Arial" w:hAnsi="Arial" w:cs="Arial"/>
          <w:sz w:val="24"/>
          <w:szCs w:val="24"/>
        </w:rPr>
        <w:t>47,1%) corresponde a apenas 8 casos de default em 17 observações; o intervalo de Wilson (95%) para essa proporção é de 26,17% a 69,04%, uma amplitude de mais de 42 pontos percentuais. Esses percentuais devem ser tratados como sinal de atenção para monitoramento, não como base isolada para políticas automáticas de restrição</w:t>
      </w:r>
      <w:r w:rsidR="00806DAA">
        <w:rPr>
          <w:rFonts w:ascii="Arial" w:hAnsi="Arial" w:cs="Arial"/>
          <w:sz w:val="24"/>
          <w:szCs w:val="24"/>
        </w:rPr>
        <w:t xml:space="preserve">, pois </w:t>
      </w:r>
      <w:r w:rsidRPr="00971C8A">
        <w:rPr>
          <w:rFonts w:ascii="Arial" w:hAnsi="Arial" w:cs="Arial"/>
          <w:sz w:val="24"/>
          <w:szCs w:val="24"/>
        </w:rPr>
        <w:t>a incerteza estatística nesses subgrupos é grande demais para sustentar regras rígidas sem revisão manual.</w:t>
      </w:r>
    </w:p>
    <w:p w14:paraId="624E1B93" w14:textId="3093DB3C" w:rsidR="007D3AD5" w:rsidRPr="00613C07" w:rsidRDefault="00971C8A" w:rsidP="00971C8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71C8A">
        <w:rPr>
          <w:rFonts w:ascii="Arial" w:hAnsi="Arial" w:cs="Arial"/>
          <w:sz w:val="24"/>
          <w:szCs w:val="24"/>
        </w:rPr>
        <w:lastRenderedPageBreak/>
        <w:t>No segmento jovem (até 25 anos, com volumetria robusta), o padrão é mais confiável: finalidades planejadas como Educação (15,9%) e Empreendimento (16,6%) têm risco controlado, enquanto finalidades reativas como Médico (28,6%), Consolidação de Dívidas (29,5%) e Reforma Lar (38,0%) concentram risco elevado</w:t>
      </w:r>
      <w:r w:rsidR="00806DAA">
        <w:rPr>
          <w:rFonts w:ascii="Arial" w:hAnsi="Arial" w:cs="Arial"/>
          <w:sz w:val="24"/>
          <w:szCs w:val="24"/>
        </w:rPr>
        <w:t>,</w:t>
      </w:r>
      <w:r w:rsidRPr="00971C8A">
        <w:rPr>
          <w:rFonts w:ascii="Arial" w:hAnsi="Arial" w:cs="Arial"/>
          <w:sz w:val="24"/>
          <w:szCs w:val="24"/>
        </w:rPr>
        <w:t xml:space="preserve"> possivelmente refletindo menor reserva financeira e subestimação de custos nesta faixa etária.</w:t>
      </w:r>
    </w:p>
    <w:p w14:paraId="340B352C" w14:textId="2F33A3EE" w:rsidR="001F5A9C" w:rsidRPr="00613C07" w:rsidRDefault="001F5A9C" w:rsidP="005F74A9">
      <w:pPr>
        <w:rPr>
          <w:rFonts w:ascii="Arial" w:hAnsi="Arial" w:cs="Arial"/>
          <w:sz w:val="24"/>
          <w:szCs w:val="24"/>
        </w:rPr>
      </w:pPr>
      <w:r w:rsidRPr="00613C07">
        <w:rPr>
          <w:rFonts w:ascii="Arial" w:hAnsi="Arial" w:cs="Arial"/>
          <w:sz w:val="24"/>
          <w:szCs w:val="24"/>
        </w:rPr>
        <w:br w:type="page"/>
      </w:r>
    </w:p>
    <w:p w14:paraId="5C1D3FCE" w14:textId="6DED9DD4" w:rsidR="004E6AD7" w:rsidRPr="00806DAA" w:rsidRDefault="003212E1" w:rsidP="00971C8A">
      <w:pPr>
        <w:pStyle w:val="Ttulo2"/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  <w:r w:rsidRPr="00806DAA">
        <w:rPr>
          <w:rFonts w:ascii="Arial" w:hAnsi="Arial" w:cs="Arial"/>
          <w:b/>
          <w:bCs/>
          <w:sz w:val="30"/>
          <w:szCs w:val="30"/>
        </w:rPr>
        <w:lastRenderedPageBreak/>
        <w:t>Síntese e Recomendações</w:t>
      </w:r>
    </w:p>
    <w:p w14:paraId="6DFE1AB6" w14:textId="77777777" w:rsidR="00057B3D" w:rsidRDefault="00057B3D" w:rsidP="00F6067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3B2741" w14:textId="20D38766" w:rsidR="00F60678" w:rsidRPr="00057B3D" w:rsidRDefault="00F60678" w:rsidP="00F6067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57B3D">
        <w:rPr>
          <w:rFonts w:ascii="Arial" w:hAnsi="Arial" w:cs="Arial"/>
          <w:b/>
          <w:bCs/>
          <w:sz w:val="24"/>
          <w:szCs w:val="24"/>
        </w:rPr>
        <w:t>Ranking de poder discriminatório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2"/>
        <w:gridCol w:w="2831"/>
        <w:gridCol w:w="2831"/>
      </w:tblGrid>
      <w:tr w:rsidR="00F60678" w14:paraId="4ED03BEE" w14:textId="77777777" w:rsidTr="002B5DCB">
        <w:trPr>
          <w:tblHeader/>
        </w:trPr>
        <w:tc>
          <w:tcPr>
            <w:tcW w:w="2832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D209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831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92FC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Teste / Métrica</w:t>
            </w:r>
          </w:p>
        </w:tc>
        <w:tc>
          <w:tcPr>
            <w:tcW w:w="2831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C714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Tamanho de efeito</w:t>
            </w:r>
          </w:p>
        </w:tc>
      </w:tr>
      <w:tr w:rsidR="00F60678" w14:paraId="0EC07D4A" w14:textId="77777777" w:rsidTr="002B5DCB">
        <w:tc>
          <w:tcPr>
            <w:tcW w:w="2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086F" w14:textId="1BD383C8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Comprometimento de renda </w:t>
            </w:r>
            <w:r w:rsidR="00B75155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DTI (categórico)</w:t>
            </w:r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3E2C" w14:textId="77777777" w:rsidR="00F60678" w:rsidRDefault="00F60678" w:rsidP="002B5DCB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Qui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² / V de </w:t>
            </w:r>
            <w:proofErr w:type="spellStart"/>
            <w:r>
              <w:rPr>
                <w:color w:val="000000"/>
                <w:sz w:val="20"/>
                <w:szCs w:val="20"/>
              </w:rPr>
              <w:t>Cramér</w:t>
            </w:r>
            <w:proofErr w:type="spellEnd"/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1280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0,43 (forte)</w:t>
            </w:r>
          </w:p>
        </w:tc>
      </w:tr>
      <w:tr w:rsidR="00F60678" w14:paraId="7E40621C" w14:textId="77777777" w:rsidTr="002B5DCB">
        <w:tc>
          <w:tcPr>
            <w:tcW w:w="2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299F" w14:textId="48BF2277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Grau de risco interno </w:t>
            </w:r>
            <w:r w:rsidR="00B75155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loan_grade</w:t>
            </w:r>
            <w:proofErr w:type="spellEnd"/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72E7" w14:textId="77777777" w:rsidR="00F60678" w:rsidRDefault="00F60678" w:rsidP="002B5DCB">
            <w:pPr>
              <w:spacing w:line="240" w:lineRule="auto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Monotonicidade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Wilson</w:t>
            </w:r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0653" w14:textId="527F76BA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Ordenação perfeita (uso cauteloso </w:t>
            </w:r>
            <w:r w:rsidR="00B75155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ver Seção 3)</w:t>
            </w:r>
          </w:p>
        </w:tc>
      </w:tr>
      <w:tr w:rsidR="00F60678" w14:paraId="3F14A31A" w14:textId="77777777" w:rsidTr="002B5DCB">
        <w:tc>
          <w:tcPr>
            <w:tcW w:w="2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C2B6" w14:textId="0FA0A179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Renda bruta </w:t>
            </w:r>
            <w:r w:rsidR="00B75155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person_income</w:t>
            </w:r>
            <w:proofErr w:type="spellEnd"/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8161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Mann-Whitney / r de Rosenthal</w:t>
            </w:r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4818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0,27 (fraco a moderado)</w:t>
            </w:r>
          </w:p>
        </w:tc>
      </w:tr>
      <w:tr w:rsidR="00F60678" w14:paraId="5F55EE82" w14:textId="77777777" w:rsidTr="002B5DCB">
        <w:tc>
          <w:tcPr>
            <w:tcW w:w="2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E2E1" w14:textId="02A28CBE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Tempo de emprego </w:t>
            </w:r>
            <w:r w:rsidR="00B75155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person_emp_length</w:t>
            </w:r>
            <w:proofErr w:type="spellEnd"/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A1B0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Mann-Whitney / r de Rosenthal</w:t>
            </w:r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AF82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0,10 (desprezível)</w:t>
            </w:r>
          </w:p>
        </w:tc>
      </w:tr>
      <w:tr w:rsidR="00F60678" w14:paraId="6280D52E" w14:textId="77777777" w:rsidTr="002B5DCB">
        <w:tc>
          <w:tcPr>
            <w:tcW w:w="28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DAB9" w14:textId="1DF1D8A8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Idade </w:t>
            </w:r>
            <w:r w:rsidR="00B75155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person_age</w:t>
            </w:r>
            <w:proofErr w:type="spellEnd"/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E1D2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Mann-Whitney / r de Rosenthal</w:t>
            </w:r>
          </w:p>
        </w:tc>
        <w:tc>
          <w:tcPr>
            <w:tcW w:w="2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FD71" w14:textId="77777777" w:rsidR="00F60678" w:rsidRDefault="00F60678" w:rsidP="002B5DCB">
            <w:pPr>
              <w:spacing w:line="240" w:lineRule="auto"/>
              <w:jc w:val="center"/>
            </w:pPr>
            <w:r>
              <w:rPr>
                <w:color w:val="000000"/>
                <w:sz w:val="20"/>
                <w:szCs w:val="20"/>
              </w:rPr>
              <w:t>≈ 0 (nulo)</w:t>
            </w:r>
          </w:p>
        </w:tc>
      </w:tr>
    </w:tbl>
    <w:p w14:paraId="1BF5C3FC" w14:textId="77777777" w:rsidR="00F60678" w:rsidRDefault="00F60678" w:rsidP="00F60678">
      <w:pPr>
        <w:jc w:val="both"/>
        <w:rPr>
          <w:rFonts w:ascii="Arial" w:hAnsi="Arial" w:cs="Arial"/>
          <w:sz w:val="24"/>
          <w:szCs w:val="24"/>
        </w:rPr>
      </w:pPr>
    </w:p>
    <w:p w14:paraId="037F2CBE" w14:textId="5DE7AD72" w:rsidR="00F60678" w:rsidRPr="00F60678" w:rsidRDefault="00F60678" w:rsidP="00F606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60678">
        <w:rPr>
          <w:rFonts w:ascii="Arial" w:hAnsi="Arial" w:cs="Arial"/>
          <w:sz w:val="24"/>
          <w:szCs w:val="24"/>
        </w:rPr>
        <w:t>A tabela acima resume a conclusão central do estudo: variáveis de fluxo financeiro e alavancagem (DTI) têm poder discriminatório muito superior a variáveis demográficas isoladas (idade, renda nominal). Regras de crédito baseadas apenas em idade ou renda absoluta não são sustentadas pelos dados.</w:t>
      </w:r>
    </w:p>
    <w:p w14:paraId="623DF05E" w14:textId="77777777" w:rsidR="00F60678" w:rsidRPr="00613C07" w:rsidRDefault="00F60678" w:rsidP="004E6AD7">
      <w:pPr>
        <w:spacing w:line="360" w:lineRule="auto"/>
        <w:rPr>
          <w:rFonts w:ascii="Arial" w:hAnsi="Arial" w:cs="Arial"/>
          <w:sz w:val="24"/>
          <w:szCs w:val="24"/>
        </w:rPr>
      </w:pPr>
    </w:p>
    <w:p w14:paraId="4EDB96E2" w14:textId="77777777" w:rsidR="00070516" w:rsidRPr="00070516" w:rsidRDefault="00070516" w:rsidP="0007051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70516">
        <w:rPr>
          <w:rFonts w:ascii="Arial" w:hAnsi="Arial" w:cs="Arial"/>
          <w:b/>
          <w:bCs/>
          <w:sz w:val="24"/>
          <w:szCs w:val="24"/>
        </w:rPr>
        <w:t>Recomendações táticas</w:t>
      </w:r>
    </w:p>
    <w:p w14:paraId="59382874" w14:textId="669C7479" w:rsidR="00070516" w:rsidRPr="00070516" w:rsidRDefault="00070516" w:rsidP="0007051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0516">
        <w:rPr>
          <w:rFonts w:ascii="Arial" w:hAnsi="Arial" w:cs="Arial"/>
          <w:sz w:val="24"/>
          <w:szCs w:val="24"/>
        </w:rPr>
        <w:t xml:space="preserve">Alerta paramétrico de DTI: adotar o limiar de 30% como filtro de triagem </w:t>
      </w:r>
      <w:r w:rsidR="00291F83">
        <w:rPr>
          <w:rFonts w:ascii="Arial" w:hAnsi="Arial" w:cs="Arial"/>
          <w:sz w:val="24"/>
          <w:szCs w:val="24"/>
        </w:rPr>
        <w:t>(</w:t>
      </w:r>
      <w:r w:rsidRPr="00070516">
        <w:rPr>
          <w:rFonts w:ascii="Arial" w:hAnsi="Arial" w:cs="Arial"/>
          <w:sz w:val="24"/>
          <w:szCs w:val="24"/>
        </w:rPr>
        <w:t>não como corte automático</w:t>
      </w:r>
      <w:r w:rsidR="00291F83">
        <w:rPr>
          <w:rFonts w:ascii="Arial" w:hAnsi="Arial" w:cs="Arial"/>
          <w:sz w:val="24"/>
          <w:szCs w:val="24"/>
        </w:rPr>
        <w:t>)</w:t>
      </w:r>
      <w:r w:rsidRPr="00070516">
        <w:rPr>
          <w:rFonts w:ascii="Arial" w:hAnsi="Arial" w:cs="Arial"/>
          <w:sz w:val="24"/>
          <w:szCs w:val="24"/>
        </w:rPr>
        <w:t>. Propostas acima do limiar devem seguir para análise condicionada, exigindo histórico limpo em bureau e/ou garantia real como mitigadores, preservando os 29,6% de bons pagadores presentes nesse grupo.</w:t>
      </w:r>
    </w:p>
    <w:p w14:paraId="5A74C780" w14:textId="3EAAA49C" w:rsidR="00070516" w:rsidRPr="00070516" w:rsidRDefault="00070516" w:rsidP="0007051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0516">
        <w:rPr>
          <w:rFonts w:ascii="Arial" w:hAnsi="Arial" w:cs="Arial"/>
          <w:sz w:val="24"/>
          <w:szCs w:val="24"/>
        </w:rPr>
        <w:t xml:space="preserve">Revisão de </w:t>
      </w:r>
      <w:proofErr w:type="spellStart"/>
      <w:r w:rsidRPr="00070516">
        <w:rPr>
          <w:rFonts w:ascii="Arial" w:hAnsi="Arial" w:cs="Arial"/>
          <w:sz w:val="24"/>
          <w:szCs w:val="24"/>
        </w:rPr>
        <w:t>pricing</w:t>
      </w:r>
      <w:proofErr w:type="spellEnd"/>
      <w:r w:rsidRPr="00070516">
        <w:rPr>
          <w:rFonts w:ascii="Arial" w:hAnsi="Arial" w:cs="Arial"/>
          <w:sz w:val="24"/>
          <w:szCs w:val="24"/>
        </w:rPr>
        <w:t xml:space="preserve"> por Grade: suspender aprovação automática direta para os Graus E, F e G, direcionando-os para análise manual e exigência de garantias. Para o Grau D</w:t>
      </w:r>
      <w:r w:rsidR="00291F83">
        <w:rPr>
          <w:rFonts w:ascii="Arial" w:hAnsi="Arial" w:cs="Arial"/>
          <w:sz w:val="24"/>
          <w:szCs w:val="24"/>
        </w:rPr>
        <w:t xml:space="preserve">, </w:t>
      </w:r>
      <w:r w:rsidRPr="00070516">
        <w:rPr>
          <w:rFonts w:ascii="Arial" w:hAnsi="Arial" w:cs="Arial"/>
          <w:sz w:val="24"/>
          <w:szCs w:val="24"/>
        </w:rPr>
        <w:t>volumetria comercial relevante</w:t>
      </w:r>
      <w:r w:rsidR="00291F83">
        <w:rPr>
          <w:rFonts w:ascii="Arial" w:hAnsi="Arial" w:cs="Arial"/>
          <w:sz w:val="24"/>
          <w:szCs w:val="24"/>
        </w:rPr>
        <w:t xml:space="preserve">, </w:t>
      </w:r>
      <w:r w:rsidRPr="00070516">
        <w:rPr>
          <w:rFonts w:ascii="Arial" w:hAnsi="Arial" w:cs="Arial"/>
          <w:sz w:val="24"/>
          <w:szCs w:val="24"/>
        </w:rPr>
        <w:t xml:space="preserve">aplicar </w:t>
      </w:r>
      <w:proofErr w:type="spellStart"/>
      <w:r w:rsidRPr="00070516">
        <w:rPr>
          <w:rFonts w:ascii="Arial" w:hAnsi="Arial" w:cs="Arial"/>
          <w:sz w:val="24"/>
          <w:szCs w:val="24"/>
        </w:rPr>
        <w:t>risk-based</w:t>
      </w:r>
      <w:proofErr w:type="spellEnd"/>
      <w:r w:rsidRPr="000705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0516">
        <w:rPr>
          <w:rFonts w:ascii="Arial" w:hAnsi="Arial" w:cs="Arial"/>
          <w:sz w:val="24"/>
          <w:szCs w:val="24"/>
        </w:rPr>
        <w:t>pricing</w:t>
      </w:r>
      <w:proofErr w:type="spellEnd"/>
      <w:r w:rsidRPr="00070516">
        <w:rPr>
          <w:rFonts w:ascii="Arial" w:hAnsi="Arial" w:cs="Arial"/>
          <w:sz w:val="24"/>
          <w:szCs w:val="24"/>
        </w:rPr>
        <w:t xml:space="preserve"> e reduzir limites de exposição.</w:t>
      </w:r>
    </w:p>
    <w:p w14:paraId="4D165FC7" w14:textId="493A2A05" w:rsidR="00070516" w:rsidRPr="00070516" w:rsidRDefault="00070516" w:rsidP="0007051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0516">
        <w:rPr>
          <w:rFonts w:ascii="Arial" w:hAnsi="Arial" w:cs="Arial"/>
          <w:sz w:val="24"/>
          <w:szCs w:val="24"/>
        </w:rPr>
        <w:lastRenderedPageBreak/>
        <w:t>Regras combinadas por finalidade e faixa etária: aplicar restrições adicionais a consolidação de dívidas e reforma residencial nos extremos etários, mas tratar os subgrupos de baixa volumetria (sêniores) com revisão manual, não com bloqueio automático</w:t>
      </w:r>
      <w:r w:rsidR="00291F83">
        <w:rPr>
          <w:rFonts w:ascii="Arial" w:hAnsi="Arial" w:cs="Arial"/>
          <w:sz w:val="24"/>
          <w:szCs w:val="24"/>
        </w:rPr>
        <w:t xml:space="preserve">, </w:t>
      </w:r>
      <w:r w:rsidRPr="00070516">
        <w:rPr>
          <w:rFonts w:ascii="Arial" w:hAnsi="Arial" w:cs="Arial"/>
          <w:sz w:val="24"/>
          <w:szCs w:val="24"/>
        </w:rPr>
        <w:t xml:space="preserve">dada a incerteza estatística documentada na </w:t>
      </w:r>
      <w:r w:rsidR="00EC0012">
        <w:rPr>
          <w:rFonts w:ascii="Arial" w:hAnsi="Arial" w:cs="Arial"/>
          <w:sz w:val="24"/>
          <w:szCs w:val="24"/>
        </w:rPr>
        <w:t>s</w:t>
      </w:r>
      <w:r w:rsidRPr="00070516">
        <w:rPr>
          <w:rFonts w:ascii="Arial" w:hAnsi="Arial" w:cs="Arial"/>
          <w:sz w:val="24"/>
          <w:szCs w:val="24"/>
        </w:rPr>
        <w:t xml:space="preserve">eção </w:t>
      </w:r>
      <w:r w:rsidR="00EC0012" w:rsidRPr="00EC0012">
        <w:rPr>
          <w:rFonts w:ascii="Arial" w:hAnsi="Arial" w:cs="Arial"/>
          <w:sz w:val="24"/>
          <w:szCs w:val="24"/>
        </w:rPr>
        <w:t>Cruzamento: Faixa Etária × Finalidade do Crédito</w:t>
      </w:r>
      <w:r w:rsidR="00EC0012">
        <w:rPr>
          <w:rFonts w:ascii="Arial" w:hAnsi="Arial" w:cs="Arial"/>
          <w:sz w:val="24"/>
          <w:szCs w:val="24"/>
        </w:rPr>
        <w:t>)</w:t>
      </w:r>
      <w:r w:rsidRPr="00070516">
        <w:rPr>
          <w:rFonts w:ascii="Arial" w:hAnsi="Arial" w:cs="Arial"/>
          <w:sz w:val="24"/>
          <w:szCs w:val="24"/>
        </w:rPr>
        <w:t>.</w:t>
      </w:r>
    </w:p>
    <w:p w14:paraId="6E652CCF" w14:textId="77777777" w:rsidR="00070516" w:rsidRPr="00070516" w:rsidRDefault="00070516" w:rsidP="0007051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0516">
        <w:rPr>
          <w:rFonts w:ascii="Arial" w:hAnsi="Arial" w:cs="Arial"/>
          <w:sz w:val="24"/>
          <w:szCs w:val="24"/>
        </w:rPr>
        <w:t>Diferenciação por tipo de moradia e histórico de bureau: usar como fatores de ponderação em um score multivariado, não como vetos isolados, já que ambos apresentam taxas relevantes de bons pagadores mesmo nos grupos de maior risco.</w:t>
      </w:r>
    </w:p>
    <w:p w14:paraId="44F3793A" w14:textId="0BE758BA" w:rsidR="007B798A" w:rsidRPr="00070516" w:rsidRDefault="00070516" w:rsidP="0007051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0516">
        <w:rPr>
          <w:rFonts w:ascii="Arial" w:hAnsi="Arial" w:cs="Arial"/>
          <w:sz w:val="24"/>
          <w:szCs w:val="24"/>
        </w:rPr>
        <w:t>Preparação para modelagem preditiva: os padrões não-lineares identificados (DTI, interações idade × finalidade) favorecem modelos baseados em árvores (</w:t>
      </w:r>
      <w:proofErr w:type="spellStart"/>
      <w:r w:rsidRPr="00070516">
        <w:rPr>
          <w:rFonts w:ascii="Arial" w:hAnsi="Arial" w:cs="Arial"/>
          <w:sz w:val="24"/>
          <w:szCs w:val="24"/>
        </w:rPr>
        <w:t>XGBoost</w:t>
      </w:r>
      <w:proofErr w:type="spellEnd"/>
      <w:r w:rsidRPr="0007051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0516">
        <w:rPr>
          <w:rFonts w:ascii="Arial" w:hAnsi="Arial" w:cs="Arial"/>
          <w:sz w:val="24"/>
          <w:szCs w:val="24"/>
        </w:rPr>
        <w:t>LightGBM</w:t>
      </w:r>
      <w:proofErr w:type="spellEnd"/>
      <w:r w:rsidRPr="00070516">
        <w:rPr>
          <w:rFonts w:ascii="Arial" w:hAnsi="Arial" w:cs="Arial"/>
          <w:sz w:val="24"/>
          <w:szCs w:val="24"/>
        </w:rPr>
        <w:t xml:space="preserve">/Random Forest) frente a modelos lineares simples, com atenção ao desbalanceamento de classes e à exclusão ou isolamento do </w:t>
      </w:r>
      <w:proofErr w:type="spellStart"/>
      <w:r w:rsidRPr="00070516">
        <w:rPr>
          <w:rFonts w:ascii="Arial" w:hAnsi="Arial" w:cs="Arial"/>
          <w:sz w:val="24"/>
          <w:szCs w:val="24"/>
        </w:rPr>
        <w:t>loan_grade</w:t>
      </w:r>
      <w:proofErr w:type="spellEnd"/>
      <w:r w:rsidRPr="00070516">
        <w:rPr>
          <w:rFonts w:ascii="Arial" w:hAnsi="Arial" w:cs="Arial"/>
          <w:sz w:val="24"/>
          <w:szCs w:val="24"/>
        </w:rPr>
        <w:t xml:space="preserve"> para evitar vazamento de meta.</w:t>
      </w:r>
    </w:p>
    <w:p w14:paraId="724BC6D0" w14:textId="675A4756" w:rsidR="00070516" w:rsidRDefault="000705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044DFEF" w14:textId="1DB56984" w:rsidR="00070516" w:rsidRPr="00EC0012" w:rsidRDefault="002B5DCB" w:rsidP="00070516">
      <w:pPr>
        <w:pStyle w:val="Ttulo2"/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  <w:r w:rsidRPr="00EC0012">
        <w:rPr>
          <w:rFonts w:ascii="Arial" w:hAnsi="Arial" w:cs="Arial"/>
          <w:b/>
          <w:bCs/>
          <w:sz w:val="30"/>
          <w:szCs w:val="30"/>
        </w:rPr>
        <w:lastRenderedPageBreak/>
        <w:t>Conclusão e Próximos Passos</w:t>
      </w:r>
    </w:p>
    <w:p w14:paraId="3D4F94CA" w14:textId="77777777" w:rsidR="00070516" w:rsidRDefault="00070516" w:rsidP="003D6C3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E0A5AC0" w14:textId="77777777" w:rsidR="004412EF" w:rsidRPr="003D6C39" w:rsidRDefault="004412EF" w:rsidP="003D6C3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D6C39">
        <w:rPr>
          <w:rFonts w:ascii="Arial" w:hAnsi="Arial" w:cs="Arial"/>
          <w:sz w:val="24"/>
          <w:szCs w:val="24"/>
        </w:rPr>
        <w:t xml:space="preserve">A Análise Exploratória de Dados da carteira do </w:t>
      </w:r>
      <w:proofErr w:type="spellStart"/>
      <w:r w:rsidRPr="003D6C39">
        <w:rPr>
          <w:rFonts w:ascii="Arial" w:hAnsi="Arial" w:cs="Arial"/>
          <w:sz w:val="24"/>
          <w:szCs w:val="24"/>
        </w:rPr>
        <w:t>ApexBank</w:t>
      </w:r>
      <w:proofErr w:type="spellEnd"/>
      <w:r w:rsidRPr="003D6C39">
        <w:rPr>
          <w:rFonts w:ascii="Arial" w:hAnsi="Arial" w:cs="Arial"/>
          <w:sz w:val="24"/>
          <w:szCs w:val="24"/>
        </w:rPr>
        <w:t xml:space="preserve"> confirma que a inadimplência é um fenômeno multifatorial, mais bem explicado por indicadores de alavancagem financeira (DTI) e classificação de risco interna do que por atributos demográficos isolados. O pipeline de governança e limpeza aplicado assegura que tanto os indicadores gerenciais aqui apresentados quanto os futuros algoritmos de Machine Learning partam de uma base íntegra e consistente.</w:t>
      </w:r>
    </w:p>
    <w:p w14:paraId="0E482F46" w14:textId="21E5250A" w:rsidR="004412EF" w:rsidRPr="003D6C39" w:rsidRDefault="004412EF" w:rsidP="003D6C3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D6C39">
        <w:rPr>
          <w:rFonts w:ascii="Arial" w:hAnsi="Arial" w:cs="Arial"/>
          <w:sz w:val="24"/>
          <w:szCs w:val="24"/>
        </w:rPr>
        <w:t xml:space="preserve">Como próximos passos, recomenda-se: (i) formalizar as regras de triagem propostas na </w:t>
      </w:r>
      <w:r w:rsidR="003364B2">
        <w:rPr>
          <w:rFonts w:ascii="Arial" w:hAnsi="Arial" w:cs="Arial"/>
          <w:sz w:val="24"/>
          <w:szCs w:val="24"/>
        </w:rPr>
        <w:t>s</w:t>
      </w:r>
      <w:r w:rsidRPr="003D6C39">
        <w:rPr>
          <w:rFonts w:ascii="Arial" w:hAnsi="Arial" w:cs="Arial"/>
          <w:sz w:val="24"/>
          <w:szCs w:val="24"/>
        </w:rPr>
        <w:t xml:space="preserve">eção </w:t>
      </w:r>
      <w:r w:rsidR="003364B2">
        <w:rPr>
          <w:rFonts w:ascii="Arial" w:hAnsi="Arial" w:cs="Arial"/>
          <w:sz w:val="24"/>
          <w:szCs w:val="24"/>
        </w:rPr>
        <w:t>“</w:t>
      </w:r>
      <w:r w:rsidR="003364B2" w:rsidRPr="003364B2">
        <w:rPr>
          <w:rFonts w:ascii="Arial" w:hAnsi="Arial" w:cs="Arial"/>
          <w:sz w:val="24"/>
          <w:szCs w:val="24"/>
        </w:rPr>
        <w:t>Recomendações táticas</w:t>
      </w:r>
      <w:r w:rsidR="003364B2">
        <w:rPr>
          <w:rFonts w:ascii="Arial" w:hAnsi="Arial" w:cs="Arial"/>
          <w:sz w:val="24"/>
          <w:szCs w:val="24"/>
        </w:rPr>
        <w:t>”</w:t>
      </w:r>
      <w:r w:rsidRPr="003D6C39">
        <w:rPr>
          <w:rFonts w:ascii="Arial" w:hAnsi="Arial" w:cs="Arial"/>
          <w:sz w:val="24"/>
          <w:szCs w:val="24"/>
        </w:rPr>
        <w:t xml:space="preserve"> junto ao Comitê de Riscos; (</w:t>
      </w:r>
      <w:proofErr w:type="spellStart"/>
      <w:r w:rsidRPr="003D6C39">
        <w:rPr>
          <w:rFonts w:ascii="Arial" w:hAnsi="Arial" w:cs="Arial"/>
          <w:sz w:val="24"/>
          <w:szCs w:val="24"/>
        </w:rPr>
        <w:t>ii</w:t>
      </w:r>
      <w:proofErr w:type="spellEnd"/>
      <w:r w:rsidRPr="003D6C39">
        <w:rPr>
          <w:rFonts w:ascii="Arial" w:hAnsi="Arial" w:cs="Arial"/>
          <w:sz w:val="24"/>
          <w:szCs w:val="24"/>
        </w:rPr>
        <w:t>) tratar a baixa volumetria dos subgrupos etários sênior com coleta adicional de dados ou agrupamento estatístico mais robusto antes de qualquer automação; e (</w:t>
      </w:r>
      <w:proofErr w:type="spellStart"/>
      <w:r w:rsidRPr="003D6C39">
        <w:rPr>
          <w:rFonts w:ascii="Arial" w:hAnsi="Arial" w:cs="Arial"/>
          <w:sz w:val="24"/>
          <w:szCs w:val="24"/>
        </w:rPr>
        <w:t>iii</w:t>
      </w:r>
      <w:proofErr w:type="spellEnd"/>
      <w:r w:rsidRPr="003D6C39">
        <w:rPr>
          <w:rFonts w:ascii="Arial" w:hAnsi="Arial" w:cs="Arial"/>
          <w:sz w:val="24"/>
          <w:szCs w:val="24"/>
        </w:rPr>
        <w:t xml:space="preserve">) iniciar a etapa de modelagem preditiva supervisionada, com validação cruzada, tratamento de desbalanceamento de classes e comparação de métricas (AUC-ROC, KS, Recall) entre modelos lineares (regressão logística) e não lineares (árvores de decisão / </w:t>
      </w:r>
      <w:proofErr w:type="spellStart"/>
      <w:r w:rsidRPr="003D6C39">
        <w:rPr>
          <w:rFonts w:ascii="Arial" w:hAnsi="Arial" w:cs="Arial"/>
          <w:sz w:val="24"/>
          <w:szCs w:val="24"/>
        </w:rPr>
        <w:t>gradient</w:t>
      </w:r>
      <w:proofErr w:type="spellEnd"/>
      <w:r w:rsidRPr="003D6C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6C39">
        <w:rPr>
          <w:rFonts w:ascii="Arial" w:hAnsi="Arial" w:cs="Arial"/>
          <w:sz w:val="24"/>
          <w:szCs w:val="24"/>
        </w:rPr>
        <w:t>boosting</w:t>
      </w:r>
      <w:proofErr w:type="spellEnd"/>
      <w:r w:rsidRPr="003D6C39">
        <w:rPr>
          <w:rFonts w:ascii="Arial" w:hAnsi="Arial" w:cs="Arial"/>
          <w:sz w:val="24"/>
          <w:szCs w:val="24"/>
        </w:rPr>
        <w:t>).</w:t>
      </w:r>
    </w:p>
    <w:p w14:paraId="0D6FACCD" w14:textId="50A0175B" w:rsidR="00474B7A" w:rsidRPr="00613C07" w:rsidRDefault="004412EF" w:rsidP="003D6C3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D6C39">
        <w:rPr>
          <w:rFonts w:ascii="Arial" w:hAnsi="Arial" w:cs="Arial"/>
          <w:sz w:val="24"/>
          <w:szCs w:val="24"/>
        </w:rPr>
        <w:t xml:space="preserve">O notebook com o código completo de limpeza, testes estatísticos e geração dos gráficos deste relatório está disponível no repositório do projeto </w:t>
      </w:r>
      <w:r w:rsidRPr="003D6C39">
        <w:rPr>
          <w:rFonts w:ascii="Arial" w:hAnsi="Arial" w:cs="Arial"/>
          <w:sz w:val="24"/>
          <w:szCs w:val="24"/>
          <w:highlight w:val="yellow"/>
        </w:rPr>
        <w:t>(link a incluir pelo autor).</w:t>
      </w:r>
    </w:p>
    <w:sectPr w:rsidR="00474B7A" w:rsidRPr="00613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4CF"/>
    <w:multiLevelType w:val="hybridMultilevel"/>
    <w:tmpl w:val="3A567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92FDB"/>
    <w:multiLevelType w:val="multilevel"/>
    <w:tmpl w:val="65D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C7DC4"/>
    <w:multiLevelType w:val="hybridMultilevel"/>
    <w:tmpl w:val="94EE1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A53E5"/>
    <w:multiLevelType w:val="hybridMultilevel"/>
    <w:tmpl w:val="8C12096E"/>
    <w:lvl w:ilvl="0" w:tplc="701E9E3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36E76"/>
    <w:multiLevelType w:val="hybridMultilevel"/>
    <w:tmpl w:val="1BA84E58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14305"/>
    <w:multiLevelType w:val="multilevel"/>
    <w:tmpl w:val="DAE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219C7"/>
    <w:multiLevelType w:val="hybridMultilevel"/>
    <w:tmpl w:val="F4A4E6B4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80194"/>
    <w:multiLevelType w:val="hybridMultilevel"/>
    <w:tmpl w:val="1BA84E58"/>
    <w:lvl w:ilvl="0" w:tplc="C6DA401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F098A"/>
    <w:multiLevelType w:val="hybridMultilevel"/>
    <w:tmpl w:val="F906E0FC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57E17"/>
    <w:multiLevelType w:val="hybridMultilevel"/>
    <w:tmpl w:val="0F2EBD78"/>
    <w:lvl w:ilvl="0" w:tplc="40320BD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D3A85"/>
    <w:multiLevelType w:val="hybridMultilevel"/>
    <w:tmpl w:val="095C5440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640D3"/>
    <w:multiLevelType w:val="hybridMultilevel"/>
    <w:tmpl w:val="A6EA0EA8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F183F"/>
    <w:multiLevelType w:val="hybridMultilevel"/>
    <w:tmpl w:val="A6EA0EA8"/>
    <w:lvl w:ilvl="0" w:tplc="D274591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25B7E"/>
    <w:multiLevelType w:val="hybridMultilevel"/>
    <w:tmpl w:val="A6EA0EA8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D6F76"/>
    <w:multiLevelType w:val="hybridMultilevel"/>
    <w:tmpl w:val="813EB6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8202F"/>
    <w:multiLevelType w:val="hybridMultilevel"/>
    <w:tmpl w:val="B650B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444F98"/>
    <w:multiLevelType w:val="hybridMultilevel"/>
    <w:tmpl w:val="183AF1E4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35390A"/>
    <w:multiLevelType w:val="hybridMultilevel"/>
    <w:tmpl w:val="63D65F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467F2"/>
    <w:multiLevelType w:val="hybridMultilevel"/>
    <w:tmpl w:val="1004C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274073"/>
    <w:multiLevelType w:val="hybridMultilevel"/>
    <w:tmpl w:val="183AF1E4"/>
    <w:lvl w:ilvl="0" w:tplc="31CA5D8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16A65"/>
    <w:multiLevelType w:val="hybridMultilevel"/>
    <w:tmpl w:val="CA6E73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C1756"/>
    <w:multiLevelType w:val="hybridMultilevel"/>
    <w:tmpl w:val="F842A06A"/>
    <w:lvl w:ilvl="0" w:tplc="AFA60BF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594796"/>
    <w:multiLevelType w:val="hybridMultilevel"/>
    <w:tmpl w:val="D146FE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8141A7"/>
    <w:multiLevelType w:val="hybridMultilevel"/>
    <w:tmpl w:val="94EE1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30D29"/>
    <w:multiLevelType w:val="hybridMultilevel"/>
    <w:tmpl w:val="0EAC4EBE"/>
    <w:lvl w:ilvl="0" w:tplc="FF3425DE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9F4D21"/>
    <w:multiLevelType w:val="hybridMultilevel"/>
    <w:tmpl w:val="94EE1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D60894"/>
    <w:multiLevelType w:val="hybridMultilevel"/>
    <w:tmpl w:val="A8D81304"/>
    <w:lvl w:ilvl="0" w:tplc="E1727AF2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492D5F"/>
    <w:multiLevelType w:val="hybridMultilevel"/>
    <w:tmpl w:val="EDD21660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EE70A9"/>
    <w:multiLevelType w:val="hybridMultilevel"/>
    <w:tmpl w:val="83DE8432"/>
    <w:lvl w:ilvl="0" w:tplc="EB187AD8">
      <w:start w:val="1"/>
      <w:numFmt w:val="bullet"/>
      <w:lvlText w:val="•"/>
      <w:lvlJc w:val="left"/>
      <w:pPr>
        <w:ind w:left="420" w:hanging="260"/>
      </w:pPr>
    </w:lvl>
    <w:lvl w:ilvl="1" w:tplc="4D760150">
      <w:numFmt w:val="decimal"/>
      <w:lvlText w:val=""/>
      <w:lvlJc w:val="left"/>
    </w:lvl>
    <w:lvl w:ilvl="2" w:tplc="C696E09E">
      <w:numFmt w:val="decimal"/>
      <w:lvlText w:val=""/>
      <w:lvlJc w:val="left"/>
    </w:lvl>
    <w:lvl w:ilvl="3" w:tplc="D0F873AA">
      <w:numFmt w:val="decimal"/>
      <w:lvlText w:val=""/>
      <w:lvlJc w:val="left"/>
    </w:lvl>
    <w:lvl w:ilvl="4" w:tplc="C054F8DA">
      <w:numFmt w:val="decimal"/>
      <w:lvlText w:val=""/>
      <w:lvlJc w:val="left"/>
    </w:lvl>
    <w:lvl w:ilvl="5" w:tplc="49500E5E">
      <w:numFmt w:val="decimal"/>
      <w:lvlText w:val=""/>
      <w:lvlJc w:val="left"/>
    </w:lvl>
    <w:lvl w:ilvl="6" w:tplc="A7A4E192">
      <w:numFmt w:val="decimal"/>
      <w:lvlText w:val=""/>
      <w:lvlJc w:val="left"/>
    </w:lvl>
    <w:lvl w:ilvl="7" w:tplc="470C0F12">
      <w:numFmt w:val="decimal"/>
      <w:lvlText w:val=""/>
      <w:lvlJc w:val="left"/>
    </w:lvl>
    <w:lvl w:ilvl="8" w:tplc="8794CC20">
      <w:numFmt w:val="decimal"/>
      <w:lvlText w:val=""/>
      <w:lvlJc w:val="left"/>
    </w:lvl>
  </w:abstractNum>
  <w:abstractNum w:abstractNumId="29" w15:restartNumberingAfterBreak="0">
    <w:nsid w:val="73E20070"/>
    <w:multiLevelType w:val="hybridMultilevel"/>
    <w:tmpl w:val="004E16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5810E2"/>
    <w:multiLevelType w:val="multilevel"/>
    <w:tmpl w:val="DAE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E18B6"/>
    <w:multiLevelType w:val="hybridMultilevel"/>
    <w:tmpl w:val="811A46A2"/>
    <w:lvl w:ilvl="0" w:tplc="758AAF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336942"/>
    <w:multiLevelType w:val="hybridMultilevel"/>
    <w:tmpl w:val="75A00D6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013491">
    <w:abstractNumId w:val="29"/>
  </w:num>
  <w:num w:numId="2" w16cid:durableId="1355617047">
    <w:abstractNumId w:val="31"/>
  </w:num>
  <w:num w:numId="3" w16cid:durableId="1738699401">
    <w:abstractNumId w:val="17"/>
  </w:num>
  <w:num w:numId="4" w16cid:durableId="240871105">
    <w:abstractNumId w:val="15"/>
  </w:num>
  <w:num w:numId="5" w16cid:durableId="12265056">
    <w:abstractNumId w:val="20"/>
  </w:num>
  <w:num w:numId="6" w16cid:durableId="358700917">
    <w:abstractNumId w:val="22"/>
  </w:num>
  <w:num w:numId="7" w16cid:durableId="1584072746">
    <w:abstractNumId w:val="19"/>
  </w:num>
  <w:num w:numId="8" w16cid:durableId="296300841">
    <w:abstractNumId w:val="8"/>
  </w:num>
  <w:num w:numId="9" w16cid:durableId="1131828692">
    <w:abstractNumId w:val="10"/>
  </w:num>
  <w:num w:numId="10" w16cid:durableId="1243442517">
    <w:abstractNumId w:val="32"/>
  </w:num>
  <w:num w:numId="11" w16cid:durableId="1669291132">
    <w:abstractNumId w:val="27"/>
  </w:num>
  <w:num w:numId="12" w16cid:durableId="958687309">
    <w:abstractNumId w:val="16"/>
  </w:num>
  <w:num w:numId="13" w16cid:durableId="1684432496">
    <w:abstractNumId w:val="14"/>
  </w:num>
  <w:num w:numId="14" w16cid:durableId="420487349">
    <w:abstractNumId w:val="2"/>
  </w:num>
  <w:num w:numId="15" w16cid:durableId="1786657456">
    <w:abstractNumId w:val="12"/>
  </w:num>
  <w:num w:numId="16" w16cid:durableId="1140343166">
    <w:abstractNumId w:val="7"/>
  </w:num>
  <w:num w:numId="17" w16cid:durableId="676887202">
    <w:abstractNumId w:val="25"/>
  </w:num>
  <w:num w:numId="18" w16cid:durableId="1550995283">
    <w:abstractNumId w:val="23"/>
  </w:num>
  <w:num w:numId="19" w16cid:durableId="1245459880">
    <w:abstractNumId w:val="13"/>
  </w:num>
  <w:num w:numId="20" w16cid:durableId="724530509">
    <w:abstractNumId w:val="11"/>
  </w:num>
  <w:num w:numId="21" w16cid:durableId="443119245">
    <w:abstractNumId w:val="6"/>
  </w:num>
  <w:num w:numId="22" w16cid:durableId="1898274971">
    <w:abstractNumId w:val="4"/>
  </w:num>
  <w:num w:numId="23" w16cid:durableId="2012290370">
    <w:abstractNumId w:val="9"/>
  </w:num>
  <w:num w:numId="24" w16cid:durableId="811143905">
    <w:abstractNumId w:val="21"/>
  </w:num>
  <w:num w:numId="25" w16cid:durableId="148637242">
    <w:abstractNumId w:val="3"/>
  </w:num>
  <w:num w:numId="26" w16cid:durableId="72049459">
    <w:abstractNumId w:val="26"/>
  </w:num>
  <w:num w:numId="27" w16cid:durableId="430202324">
    <w:abstractNumId w:val="24"/>
  </w:num>
  <w:num w:numId="28" w16cid:durableId="1674145630">
    <w:abstractNumId w:val="30"/>
  </w:num>
  <w:num w:numId="29" w16cid:durableId="1460757691">
    <w:abstractNumId w:val="1"/>
  </w:num>
  <w:num w:numId="30" w16cid:durableId="1796634572">
    <w:abstractNumId w:val="5"/>
  </w:num>
  <w:num w:numId="31" w16cid:durableId="670568808">
    <w:abstractNumId w:val="28"/>
    <w:lvlOverride w:ilvl="0">
      <w:startOverride w:val="1"/>
    </w:lvlOverride>
  </w:num>
  <w:num w:numId="32" w16cid:durableId="1778601885">
    <w:abstractNumId w:val="0"/>
  </w:num>
  <w:num w:numId="33" w16cid:durableId="11001018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6D"/>
    <w:rsid w:val="00004986"/>
    <w:rsid w:val="0000565E"/>
    <w:rsid w:val="00013542"/>
    <w:rsid w:val="000322BA"/>
    <w:rsid w:val="00034DA4"/>
    <w:rsid w:val="000428A2"/>
    <w:rsid w:val="00043394"/>
    <w:rsid w:val="00044B3F"/>
    <w:rsid w:val="00047BA2"/>
    <w:rsid w:val="00055A40"/>
    <w:rsid w:val="00055ADB"/>
    <w:rsid w:val="000566DD"/>
    <w:rsid w:val="00057B3D"/>
    <w:rsid w:val="00057C6D"/>
    <w:rsid w:val="00064B49"/>
    <w:rsid w:val="00070516"/>
    <w:rsid w:val="00071393"/>
    <w:rsid w:val="00072AD8"/>
    <w:rsid w:val="000824BB"/>
    <w:rsid w:val="000916E8"/>
    <w:rsid w:val="00095925"/>
    <w:rsid w:val="000C412C"/>
    <w:rsid w:val="000D0C45"/>
    <w:rsid w:val="000D168C"/>
    <w:rsid w:val="000D6D49"/>
    <w:rsid w:val="000E3BE3"/>
    <w:rsid w:val="000F03D1"/>
    <w:rsid w:val="000F6EE1"/>
    <w:rsid w:val="000F7701"/>
    <w:rsid w:val="0010111B"/>
    <w:rsid w:val="00110B8C"/>
    <w:rsid w:val="00114A9B"/>
    <w:rsid w:val="0013037D"/>
    <w:rsid w:val="001624D9"/>
    <w:rsid w:val="00166423"/>
    <w:rsid w:val="00171D43"/>
    <w:rsid w:val="00173DC5"/>
    <w:rsid w:val="00191EB5"/>
    <w:rsid w:val="001B43DD"/>
    <w:rsid w:val="001B7E29"/>
    <w:rsid w:val="001C70F6"/>
    <w:rsid w:val="001D1343"/>
    <w:rsid w:val="001E5EE3"/>
    <w:rsid w:val="001E6608"/>
    <w:rsid w:val="001E7569"/>
    <w:rsid w:val="001F5A9C"/>
    <w:rsid w:val="00202255"/>
    <w:rsid w:val="00241064"/>
    <w:rsid w:val="00251F71"/>
    <w:rsid w:val="0025279E"/>
    <w:rsid w:val="0025397C"/>
    <w:rsid w:val="00274D75"/>
    <w:rsid w:val="00276FD0"/>
    <w:rsid w:val="00291F83"/>
    <w:rsid w:val="0029347F"/>
    <w:rsid w:val="00296F3E"/>
    <w:rsid w:val="002B18AA"/>
    <w:rsid w:val="002B5DCB"/>
    <w:rsid w:val="002C473D"/>
    <w:rsid w:val="002D424B"/>
    <w:rsid w:val="002E0578"/>
    <w:rsid w:val="002E2CDA"/>
    <w:rsid w:val="002E4F77"/>
    <w:rsid w:val="00307EA3"/>
    <w:rsid w:val="003212E1"/>
    <w:rsid w:val="0032438C"/>
    <w:rsid w:val="00325130"/>
    <w:rsid w:val="00331EAF"/>
    <w:rsid w:val="003364B2"/>
    <w:rsid w:val="00344087"/>
    <w:rsid w:val="00347272"/>
    <w:rsid w:val="00350FDB"/>
    <w:rsid w:val="00357848"/>
    <w:rsid w:val="00362186"/>
    <w:rsid w:val="00365986"/>
    <w:rsid w:val="003712FB"/>
    <w:rsid w:val="00374CD2"/>
    <w:rsid w:val="00383EE6"/>
    <w:rsid w:val="0039054C"/>
    <w:rsid w:val="00391A1A"/>
    <w:rsid w:val="00393840"/>
    <w:rsid w:val="00394554"/>
    <w:rsid w:val="003956D8"/>
    <w:rsid w:val="003B0E6F"/>
    <w:rsid w:val="003C3FA8"/>
    <w:rsid w:val="003C4A02"/>
    <w:rsid w:val="003C52B6"/>
    <w:rsid w:val="003C55D7"/>
    <w:rsid w:val="003C5924"/>
    <w:rsid w:val="003D6C39"/>
    <w:rsid w:val="003F1570"/>
    <w:rsid w:val="0040336D"/>
    <w:rsid w:val="00426B14"/>
    <w:rsid w:val="00432687"/>
    <w:rsid w:val="004334AA"/>
    <w:rsid w:val="00434762"/>
    <w:rsid w:val="004412EF"/>
    <w:rsid w:val="0046243F"/>
    <w:rsid w:val="004745EB"/>
    <w:rsid w:val="00474B7A"/>
    <w:rsid w:val="00476FE9"/>
    <w:rsid w:val="004812D9"/>
    <w:rsid w:val="004C53D3"/>
    <w:rsid w:val="004C5AF4"/>
    <w:rsid w:val="004E6AD7"/>
    <w:rsid w:val="004F4276"/>
    <w:rsid w:val="00503617"/>
    <w:rsid w:val="0051419E"/>
    <w:rsid w:val="00515B06"/>
    <w:rsid w:val="00525859"/>
    <w:rsid w:val="00527C66"/>
    <w:rsid w:val="005369A2"/>
    <w:rsid w:val="00537B97"/>
    <w:rsid w:val="00550CE9"/>
    <w:rsid w:val="005510ED"/>
    <w:rsid w:val="0059322E"/>
    <w:rsid w:val="00594D94"/>
    <w:rsid w:val="005B66B9"/>
    <w:rsid w:val="005B685D"/>
    <w:rsid w:val="005C6363"/>
    <w:rsid w:val="005C6EBE"/>
    <w:rsid w:val="005E61D6"/>
    <w:rsid w:val="005F45E2"/>
    <w:rsid w:val="005F74A9"/>
    <w:rsid w:val="00601037"/>
    <w:rsid w:val="00605E3A"/>
    <w:rsid w:val="00613C07"/>
    <w:rsid w:val="00614691"/>
    <w:rsid w:val="00616E97"/>
    <w:rsid w:val="0064569F"/>
    <w:rsid w:val="00650FA1"/>
    <w:rsid w:val="00657B56"/>
    <w:rsid w:val="006602C2"/>
    <w:rsid w:val="00686753"/>
    <w:rsid w:val="00693935"/>
    <w:rsid w:val="006A309F"/>
    <w:rsid w:val="006A3224"/>
    <w:rsid w:val="006A72B2"/>
    <w:rsid w:val="006D13B1"/>
    <w:rsid w:val="006F3F7B"/>
    <w:rsid w:val="007211B8"/>
    <w:rsid w:val="00724AF9"/>
    <w:rsid w:val="0073398F"/>
    <w:rsid w:val="00753227"/>
    <w:rsid w:val="00754D05"/>
    <w:rsid w:val="00760A0B"/>
    <w:rsid w:val="00762C14"/>
    <w:rsid w:val="007654E4"/>
    <w:rsid w:val="0077241B"/>
    <w:rsid w:val="00773C5C"/>
    <w:rsid w:val="00776FC5"/>
    <w:rsid w:val="00792F29"/>
    <w:rsid w:val="00794D2D"/>
    <w:rsid w:val="007971C4"/>
    <w:rsid w:val="00797835"/>
    <w:rsid w:val="007A1C76"/>
    <w:rsid w:val="007A2420"/>
    <w:rsid w:val="007B798A"/>
    <w:rsid w:val="007C5962"/>
    <w:rsid w:val="007C5DED"/>
    <w:rsid w:val="007C692A"/>
    <w:rsid w:val="007D3AD5"/>
    <w:rsid w:val="007E5C9B"/>
    <w:rsid w:val="00806DAA"/>
    <w:rsid w:val="00812877"/>
    <w:rsid w:val="00816579"/>
    <w:rsid w:val="008263D2"/>
    <w:rsid w:val="00830FC2"/>
    <w:rsid w:val="008324A4"/>
    <w:rsid w:val="0084313E"/>
    <w:rsid w:val="00851A54"/>
    <w:rsid w:val="008627B7"/>
    <w:rsid w:val="008665E8"/>
    <w:rsid w:val="00867B54"/>
    <w:rsid w:val="008769AA"/>
    <w:rsid w:val="00877F52"/>
    <w:rsid w:val="00885E39"/>
    <w:rsid w:val="00886A9D"/>
    <w:rsid w:val="00886C90"/>
    <w:rsid w:val="008935F8"/>
    <w:rsid w:val="00894361"/>
    <w:rsid w:val="00897744"/>
    <w:rsid w:val="008A236B"/>
    <w:rsid w:val="008A2FFC"/>
    <w:rsid w:val="008A6271"/>
    <w:rsid w:val="008C323D"/>
    <w:rsid w:val="008C58AA"/>
    <w:rsid w:val="008E23E0"/>
    <w:rsid w:val="008E4D0D"/>
    <w:rsid w:val="008E7C33"/>
    <w:rsid w:val="00901658"/>
    <w:rsid w:val="00901D2C"/>
    <w:rsid w:val="009158FC"/>
    <w:rsid w:val="00920540"/>
    <w:rsid w:val="00927866"/>
    <w:rsid w:val="009407A5"/>
    <w:rsid w:val="00943F3C"/>
    <w:rsid w:val="00954587"/>
    <w:rsid w:val="009569B1"/>
    <w:rsid w:val="00960033"/>
    <w:rsid w:val="009658A0"/>
    <w:rsid w:val="00970387"/>
    <w:rsid w:val="00971C8A"/>
    <w:rsid w:val="00972F54"/>
    <w:rsid w:val="009859D6"/>
    <w:rsid w:val="009944B9"/>
    <w:rsid w:val="00995400"/>
    <w:rsid w:val="009A4046"/>
    <w:rsid w:val="009B0C62"/>
    <w:rsid w:val="009B1C34"/>
    <w:rsid w:val="009D1263"/>
    <w:rsid w:val="009D3002"/>
    <w:rsid w:val="009D6977"/>
    <w:rsid w:val="009E1B26"/>
    <w:rsid w:val="009E448C"/>
    <w:rsid w:val="009F60B6"/>
    <w:rsid w:val="00A01CB4"/>
    <w:rsid w:val="00A040DD"/>
    <w:rsid w:val="00A054C0"/>
    <w:rsid w:val="00A065E4"/>
    <w:rsid w:val="00A30991"/>
    <w:rsid w:val="00A406D0"/>
    <w:rsid w:val="00A64C5E"/>
    <w:rsid w:val="00A71049"/>
    <w:rsid w:val="00A8127C"/>
    <w:rsid w:val="00A9432B"/>
    <w:rsid w:val="00A97CD3"/>
    <w:rsid w:val="00AA0F37"/>
    <w:rsid w:val="00AA11FA"/>
    <w:rsid w:val="00AA2C9F"/>
    <w:rsid w:val="00AA4AB7"/>
    <w:rsid w:val="00AB2229"/>
    <w:rsid w:val="00AB32BC"/>
    <w:rsid w:val="00AB5E9B"/>
    <w:rsid w:val="00AD71F0"/>
    <w:rsid w:val="00AD7FDC"/>
    <w:rsid w:val="00AF04E4"/>
    <w:rsid w:val="00AF113F"/>
    <w:rsid w:val="00AF3258"/>
    <w:rsid w:val="00AF6B40"/>
    <w:rsid w:val="00B149E0"/>
    <w:rsid w:val="00B155F9"/>
    <w:rsid w:val="00B207F4"/>
    <w:rsid w:val="00B22309"/>
    <w:rsid w:val="00B44860"/>
    <w:rsid w:val="00B46339"/>
    <w:rsid w:val="00B5308A"/>
    <w:rsid w:val="00B75155"/>
    <w:rsid w:val="00B81699"/>
    <w:rsid w:val="00B86363"/>
    <w:rsid w:val="00B8682C"/>
    <w:rsid w:val="00B921F7"/>
    <w:rsid w:val="00B9491C"/>
    <w:rsid w:val="00BA10E9"/>
    <w:rsid w:val="00BB1851"/>
    <w:rsid w:val="00BE365B"/>
    <w:rsid w:val="00BF3EB0"/>
    <w:rsid w:val="00C041E1"/>
    <w:rsid w:val="00C1415B"/>
    <w:rsid w:val="00C23720"/>
    <w:rsid w:val="00C23ED8"/>
    <w:rsid w:val="00C35021"/>
    <w:rsid w:val="00C3593D"/>
    <w:rsid w:val="00C35E23"/>
    <w:rsid w:val="00C371EB"/>
    <w:rsid w:val="00C41EA4"/>
    <w:rsid w:val="00C53559"/>
    <w:rsid w:val="00C8497D"/>
    <w:rsid w:val="00C95DB5"/>
    <w:rsid w:val="00CB39C3"/>
    <w:rsid w:val="00CD4528"/>
    <w:rsid w:val="00CD7843"/>
    <w:rsid w:val="00CD7C98"/>
    <w:rsid w:val="00CE105C"/>
    <w:rsid w:val="00CE5EB9"/>
    <w:rsid w:val="00D02312"/>
    <w:rsid w:val="00D023EF"/>
    <w:rsid w:val="00D32E4C"/>
    <w:rsid w:val="00D37E84"/>
    <w:rsid w:val="00D527F3"/>
    <w:rsid w:val="00D634C2"/>
    <w:rsid w:val="00D7029F"/>
    <w:rsid w:val="00DA70A6"/>
    <w:rsid w:val="00DB1543"/>
    <w:rsid w:val="00DB3CAC"/>
    <w:rsid w:val="00DB491A"/>
    <w:rsid w:val="00DD15E2"/>
    <w:rsid w:val="00DF1451"/>
    <w:rsid w:val="00E1043B"/>
    <w:rsid w:val="00E14D87"/>
    <w:rsid w:val="00E14DFD"/>
    <w:rsid w:val="00E168A5"/>
    <w:rsid w:val="00E4426D"/>
    <w:rsid w:val="00E4714C"/>
    <w:rsid w:val="00E51277"/>
    <w:rsid w:val="00E55B30"/>
    <w:rsid w:val="00E70B68"/>
    <w:rsid w:val="00E8782C"/>
    <w:rsid w:val="00E95FC9"/>
    <w:rsid w:val="00EA0A1C"/>
    <w:rsid w:val="00EA207C"/>
    <w:rsid w:val="00EB6935"/>
    <w:rsid w:val="00EC0012"/>
    <w:rsid w:val="00EC173E"/>
    <w:rsid w:val="00EC1D34"/>
    <w:rsid w:val="00EE1BA8"/>
    <w:rsid w:val="00EF0D3A"/>
    <w:rsid w:val="00EF79EB"/>
    <w:rsid w:val="00F0137F"/>
    <w:rsid w:val="00F11963"/>
    <w:rsid w:val="00F17835"/>
    <w:rsid w:val="00F2179C"/>
    <w:rsid w:val="00F22A3B"/>
    <w:rsid w:val="00F402F6"/>
    <w:rsid w:val="00F443AC"/>
    <w:rsid w:val="00F453C3"/>
    <w:rsid w:val="00F60678"/>
    <w:rsid w:val="00F67567"/>
    <w:rsid w:val="00F675B1"/>
    <w:rsid w:val="00F81E72"/>
    <w:rsid w:val="00F8251B"/>
    <w:rsid w:val="00FA5550"/>
    <w:rsid w:val="00FB0D6F"/>
    <w:rsid w:val="00FB1E7D"/>
    <w:rsid w:val="00FB33CC"/>
    <w:rsid w:val="00FC2248"/>
    <w:rsid w:val="00FC7E29"/>
    <w:rsid w:val="00F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A117"/>
  <w15:chartTrackingRefBased/>
  <w15:docId w15:val="{21201B6E-C0ED-4D8D-BB8C-E95003E1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7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7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7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57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7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7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7C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7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7C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7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7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7C6D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57C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7C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7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7C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7C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3D1"/>
    <w:rPr>
      <w:rFonts w:ascii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657B56"/>
    <w:rPr>
      <w:color w:val="666666"/>
    </w:rPr>
  </w:style>
  <w:style w:type="paragraph" w:styleId="Legenda">
    <w:name w:val="caption"/>
    <w:basedOn w:val="Normal"/>
    <w:next w:val="Normal"/>
    <w:uiPriority w:val="35"/>
    <w:unhideWhenUsed/>
    <w:qFormat/>
    <w:rsid w:val="00AF113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26</Pages>
  <Words>3369</Words>
  <Characters>18193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Bilheri</dc:creator>
  <cp:keywords/>
  <dc:description/>
  <cp:lastModifiedBy>Frederico Bilheri</cp:lastModifiedBy>
  <cp:revision>313</cp:revision>
  <cp:lastPrinted>2026-07-15T03:13:00Z</cp:lastPrinted>
  <dcterms:created xsi:type="dcterms:W3CDTF">2026-07-14T05:50:00Z</dcterms:created>
  <dcterms:modified xsi:type="dcterms:W3CDTF">2026-07-18T05:17:00Z</dcterms:modified>
</cp:coreProperties>
</file>