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Tabla 1. Características sociodemográficas de las muestras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5"/>
        <w:gridCol w:w="1719"/>
        <w:gridCol w:w="1597"/>
      </w:tblGrid>
      <w:tr>
        <w:trPr>
          <w:trHeight w:val="57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Desarrollo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Validacion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Edad media (DE)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24.85 (17.81)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24.22 (9.12)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Mujeres (n)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612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Hombres (n)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684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 géneros (n)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Estrato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Estrato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339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Estrato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603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Estrato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</w:t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Estrato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Estrato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2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Estrato 999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2026-03-05T22:41:50Z</dcterms:modified>
  <cp:category/>
</cp:coreProperties>
</file>