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i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i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i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5. Redacta el abstract, las conclusiones y la reflexión en inglés con ideas completas que se conectan en secuencia lógica, utilizando estructuras gramaticales y vocabulario en forma correcta y pertinente al tema a un nivel intermedio alto.</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color w:val="3b3838"/>
                <w:sz w:val="22"/>
                <w:szCs w:val="22"/>
              </w:rPr>
            </w:pPr>
            <w:r w:rsidDel="00000000" w:rsidR="00000000" w:rsidRPr="00000000">
              <w:rPr>
                <w:rFonts w:ascii="Calibri" w:cs="Calibri" w:eastAsia="Calibri" w:hAnsi="Calibri"/>
                <w:b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9">
            <w:pPr>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shd w:fill="76a5af" w:val="clear"/>
            <w:vAlign w:val="center"/>
          </w:tcPr>
          <w:p w:rsidR="00000000" w:rsidDel="00000000" w:rsidP="00000000" w:rsidRDefault="00000000" w:rsidRPr="00000000" w14:paraId="0000009A">
            <w:pPr>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vAlign w:val="center"/>
          </w:tcPr>
          <w:p w:rsidR="00000000" w:rsidDel="00000000" w:rsidP="00000000" w:rsidRDefault="00000000" w:rsidRPr="00000000" w14:paraId="0000009B">
            <w:pPr>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vAlign w:val="center"/>
          </w:tcPr>
          <w:p w:rsidR="00000000" w:rsidDel="00000000" w:rsidP="00000000" w:rsidRDefault="00000000" w:rsidRPr="00000000" w14:paraId="0000009C">
            <w:pPr>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vAlign w:val="center"/>
          </w:tcPr>
          <w:p w:rsidR="00000000" w:rsidDel="00000000" w:rsidP="00000000" w:rsidRDefault="00000000" w:rsidRPr="00000000" w14:paraId="0000009D">
            <w:pPr>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shd w:fill="76a5af" w:val="clea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3">
            <w:pPr>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shd w:fill="76a5af" w:val="clea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vAlign w:val="center"/>
          </w:tcPr>
          <w:p w:rsidR="00000000" w:rsidDel="00000000" w:rsidP="00000000" w:rsidRDefault="00000000" w:rsidRPr="00000000" w14:paraId="000000A9">
            <w:pPr>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shd w:fill="76a5af" w:val="clear"/>
            <w:vAlign w:val="cente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shd w:fill="76a5af" w:val="clear"/>
            <w:vAlign w:val="center"/>
          </w:tcPr>
          <w:p w:rsidR="00000000" w:rsidDel="00000000" w:rsidP="00000000" w:rsidRDefault="00000000" w:rsidRPr="00000000" w14:paraId="000000B2">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3">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B7">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B8">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9">
            <w:pPr>
              <w:jc w:val="right"/>
              <w:rPr>
                <w:rFonts w:ascii="Calibri" w:cs="Calibri" w:eastAsia="Calibri" w:hAnsi="Calibri"/>
                <w:b w:val="1"/>
                <w:color w:val="3b3838"/>
              </w:rPr>
            </w:pPr>
            <w:r w:rsidDel="00000000" w:rsidR="00000000" w:rsidRPr="00000000">
              <w:rPr>
                <w:rFonts w:ascii="Calibri" w:cs="Calibri" w:eastAsia="Calibri" w:hAnsi="Calibri"/>
                <w:b w:val="1"/>
                <w:rtl w:val="0"/>
              </w:rPr>
              <w:t xml:space="preserve">Total</w:t>
            </w:r>
            <w:r w:rsidDel="00000000" w:rsidR="00000000" w:rsidRPr="00000000">
              <w:rPr>
                <w:rtl w:val="0"/>
              </w:rPr>
            </w:r>
          </w:p>
        </w:tc>
        <w:tc>
          <w:tcPr>
            <w:vAlign w:val="center"/>
          </w:tcPr>
          <w:p w:rsidR="00000000" w:rsidDel="00000000" w:rsidP="00000000" w:rsidRDefault="00000000" w:rsidRPr="00000000" w14:paraId="000000BE">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100%</w:t>
            </w:r>
            <w:r w:rsidDel="00000000" w:rsidR="00000000" w:rsidRPr="00000000">
              <w:rPr>
                <w:rtl w:val="0"/>
              </w:rPr>
            </w:r>
          </w:p>
        </w:tc>
      </w:tr>
    </w:tbl>
    <w:p w:rsidR="00000000" w:rsidDel="00000000" w:rsidP="00000000" w:rsidRDefault="00000000" w:rsidRPr="00000000" w14:paraId="000000BF">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iAKYyN09hjd1mf5+BOi//M92g==">CgMxLjA4AHIhMWFoRTcwNFFyaElGREJQaWFXam5jOXg4OGk0cTdzMi1W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