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EB499" w14:textId="77777777" w:rsidR="00A81F15" w:rsidRPr="00E57E18" w:rsidRDefault="00A81F15" w:rsidP="00A81F15">
      <w:pPr>
        <w:pStyle w:val="Heading2"/>
        <w:rPr>
          <w:sz w:val="24"/>
          <w:szCs w:val="24"/>
        </w:rPr>
      </w:pPr>
      <w:bookmarkStart w:id="0" w:name="_Toc452144163"/>
      <w:r w:rsidRPr="00E57E18">
        <w:rPr>
          <w:sz w:val="24"/>
          <w:szCs w:val="24"/>
        </w:rPr>
        <w:t>Specific Aim 1: Test the effect of temperature and acetate addition on MFC power density and biofilm properties</w:t>
      </w:r>
      <w:bookmarkEnd w:id="0"/>
    </w:p>
    <w:p w14:paraId="04C3109A" w14:textId="77777777" w:rsidR="00A81F15" w:rsidRPr="00E57E18" w:rsidRDefault="00A81F15" w:rsidP="00A81F15">
      <w:pPr>
        <w:spacing w:line="240" w:lineRule="auto"/>
        <w:rPr>
          <w:szCs w:val="24"/>
        </w:rPr>
      </w:pPr>
    </w:p>
    <w:p w14:paraId="4A608E34" w14:textId="77777777" w:rsidR="00A81F15" w:rsidRPr="00E57E18" w:rsidRDefault="00A81F15" w:rsidP="00A81F15">
      <w:pPr>
        <w:pStyle w:val="Heading3"/>
        <w:numPr>
          <w:ilvl w:val="1"/>
          <w:numId w:val="1"/>
        </w:numPr>
      </w:pPr>
      <w:bookmarkStart w:id="1" w:name="_Toc452144164"/>
      <w:r w:rsidRPr="00E57E18">
        <w:t>Rationale</w:t>
      </w:r>
      <w:bookmarkEnd w:id="1"/>
      <w:r w:rsidRPr="00E57E18">
        <w:t xml:space="preserve">  </w:t>
      </w:r>
    </w:p>
    <w:p w14:paraId="753C4BCF" w14:textId="77777777" w:rsidR="00A81F15" w:rsidRPr="00E57E18" w:rsidRDefault="00A81F15" w:rsidP="00A81F15">
      <w:pPr>
        <w:spacing w:line="240" w:lineRule="auto"/>
        <w:rPr>
          <w:szCs w:val="24"/>
        </w:rPr>
      </w:pPr>
      <w:r w:rsidRPr="00E57E18">
        <w:rPr>
          <w:szCs w:val="24"/>
        </w:rPr>
        <w:t xml:space="preserve">Environmental microbial communities can have a diverse mixture of species filling different ecological niches. By enriching these diverse communities under operating conditions </w:t>
      </w:r>
      <w:proofErr w:type="gramStart"/>
      <w:r w:rsidRPr="00E57E18">
        <w:rPr>
          <w:szCs w:val="24"/>
        </w:rPr>
        <w:t>similar to</w:t>
      </w:r>
      <w:proofErr w:type="gramEnd"/>
      <w:r w:rsidRPr="00E57E18">
        <w:rPr>
          <w:szCs w:val="24"/>
        </w:rPr>
        <w:t xml:space="preserve"> their intended purpose, selective pressures shape the microbial community to become more efficient at deconstructing a given substrate. Determining the effect of MFC process variables on MFC performance is the first step in identifying the mechanism behind microbial community biofilm formation in MFCs and elucidating the optimized parameters for higher power density. Specifically, temperature and acetate addition during startup will be tested because of their ease of manipulation in a laboratory setting, their adaptability to an industrial process, and previous literature showing that 20 </w:t>
      </w:r>
      <w:proofErr w:type="spellStart"/>
      <w:r w:rsidRPr="00E57E18">
        <w:rPr>
          <w:szCs w:val="24"/>
        </w:rPr>
        <w:t>mM</w:t>
      </w:r>
      <w:proofErr w:type="spellEnd"/>
      <w:r w:rsidRPr="00E57E18">
        <w:rPr>
          <w:szCs w:val="24"/>
        </w:rPr>
        <w:t xml:space="preserve"> acetate-initiated MFCs display higher power densities once switched to their target substrate </w:t>
      </w:r>
      <w:r w:rsidRPr="00E57E18">
        <w:rPr>
          <w:szCs w:val="24"/>
        </w:rPr>
        <w:fldChar w:fldCharType="begin">
          <w:fldData xml:space="preserve">PEVuZE5vdGU+PENpdGU+PEF1dGhvcj5TdW48L0F1dGhvcj48WWVhcj4yMDE1PC9ZZWFyPjxSZWNO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</w:fldData>
        </w:fldChar>
      </w:r>
      <w:r w:rsidRPr="00E57E18">
        <w:rPr>
          <w:szCs w:val="24"/>
        </w:rPr>
        <w:instrText xml:space="preserve"> ADDIN EN.CITE </w:instrText>
      </w:r>
      <w:r w:rsidRPr="00E57E18">
        <w:rPr>
          <w:szCs w:val="24"/>
        </w:rPr>
        <w:fldChar w:fldCharType="begin">
          <w:fldData xml:space="preserve">PEVuZE5vdGU+PENpdGU+PEF1dGhvcj5TdW48L0F1dGhvcj48WWVhcj4yMDE1PC9ZZWFyPjxSZWNO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</w:fldData>
        </w:fldChar>
      </w:r>
      <w:r w:rsidRPr="00E57E18">
        <w:rPr>
          <w:szCs w:val="24"/>
        </w:rPr>
        <w:instrText xml:space="preserve"> ADDIN EN.CITE.DATA </w:instrText>
      </w:r>
      <w:r w:rsidRPr="00E57E18">
        <w:rPr>
          <w:szCs w:val="24"/>
        </w:rPr>
      </w:r>
      <w:r w:rsidRPr="00E57E18">
        <w:rPr>
          <w:szCs w:val="24"/>
        </w:rPr>
        <w:fldChar w:fldCharType="end"/>
      </w:r>
      <w:r w:rsidRPr="00E57E18">
        <w:rPr>
          <w:szCs w:val="24"/>
        </w:rPr>
      </w:r>
      <w:r w:rsidRPr="00E57E18">
        <w:rPr>
          <w:szCs w:val="24"/>
        </w:rPr>
        <w:fldChar w:fldCharType="separate"/>
      </w:r>
      <w:r w:rsidRPr="00E57E18">
        <w:rPr>
          <w:noProof/>
          <w:szCs w:val="24"/>
        </w:rPr>
        <w:t>(Sun et al., 2015)</w:t>
      </w:r>
      <w:r w:rsidRPr="00E57E18">
        <w:rPr>
          <w:szCs w:val="24"/>
        </w:rPr>
        <w:fldChar w:fldCharType="end"/>
      </w:r>
      <w:r w:rsidRPr="00E57E18">
        <w:rPr>
          <w:szCs w:val="24"/>
        </w:rPr>
        <w:t xml:space="preserve">. </w:t>
      </w:r>
    </w:p>
    <w:p w14:paraId="25354C1F" w14:textId="03A5C99F" w:rsidR="00A81F15" w:rsidRPr="00E57E18" w:rsidRDefault="00B77F0C" w:rsidP="00A81F15">
      <w:pPr>
        <w:shd w:val="clear" w:color="auto" w:fill="FFFFFF"/>
        <w:spacing w:line="240" w:lineRule="auto"/>
        <w:rPr>
          <w:rFonts w:eastAsia="Times New Roman"/>
          <w:color w:val="222222"/>
          <w:szCs w:val="24"/>
        </w:rPr>
      </w:pPr>
      <w:r>
        <w:rPr>
          <w:rFonts w:eastAsia="Times New Roman"/>
          <w:color w:val="222222"/>
          <w:szCs w:val="24"/>
        </w:rPr>
        <w:t>Fluorescence microscopy</w:t>
      </w:r>
      <w:r w:rsidR="00A81F15" w:rsidRPr="00E57E18">
        <w:rPr>
          <w:rFonts w:eastAsia="Times New Roman"/>
          <w:color w:val="222222"/>
          <w:szCs w:val="24"/>
        </w:rPr>
        <w:t xml:space="preserve"> offers the opportunity to study specific spatial properties of the biofilms in microbial fuel cells and their differences across treatments, specifically thickness and coverage. Additionally, Illumina sequencing provides the ability to determine microbial community relative abundance of species and diversity. Performing both </w:t>
      </w:r>
      <w:r>
        <w:rPr>
          <w:rFonts w:eastAsia="Times New Roman"/>
          <w:color w:val="222222"/>
          <w:szCs w:val="24"/>
        </w:rPr>
        <w:t>fluorescence microscopy</w:t>
      </w:r>
      <w:r w:rsidR="00A81F15" w:rsidRPr="00E57E18">
        <w:rPr>
          <w:rFonts w:eastAsia="Times New Roman"/>
          <w:color w:val="222222"/>
          <w:szCs w:val="24"/>
        </w:rPr>
        <w:t xml:space="preserve"> and Illumina sequencing on the biofilms in MFCs will provide information on the mechanism of biofilm growth and phylogenetic diversity as a function of temperature and acetate addition.</w:t>
      </w:r>
      <w:r w:rsidR="000E13A5" w:rsidRPr="00E57E18">
        <w:rPr>
          <w:rFonts w:eastAsia="Times New Roman"/>
          <w:color w:val="222222"/>
          <w:szCs w:val="24"/>
        </w:rPr>
        <w:br/>
      </w:r>
    </w:p>
    <w:p w14:paraId="08B607EC" w14:textId="77777777" w:rsidR="00A81F15" w:rsidRPr="00E57E18" w:rsidRDefault="00A81F15" w:rsidP="00A81F15">
      <w:pPr>
        <w:pStyle w:val="Heading3"/>
        <w:numPr>
          <w:ilvl w:val="1"/>
          <w:numId w:val="1"/>
        </w:numPr>
      </w:pPr>
      <w:bookmarkStart w:id="2" w:name="_Toc452144165"/>
      <w:r w:rsidRPr="00E57E18">
        <w:t>Experimental Approach</w:t>
      </w:r>
      <w:bookmarkEnd w:id="2"/>
    </w:p>
    <w:p w14:paraId="7DBCF887" w14:textId="77777777" w:rsidR="00E57E18" w:rsidRPr="00E57E18" w:rsidRDefault="00A81F15" w:rsidP="00A81F15">
      <w:pPr>
        <w:spacing w:line="240" w:lineRule="auto"/>
        <w:rPr>
          <w:szCs w:val="24"/>
        </w:rPr>
        <w:sectPr w:rsidR="00E57E18" w:rsidRPr="00E57E18">
          <w:pgSz w:w="12240" w:h="15840"/>
          <w:pgMar w:top="1440" w:right="1440" w:bottom="1440" w:left="1440" w:header="720" w:footer="720" w:gutter="0"/>
          <w:cols w:space="720"/>
          <w:docGrid w:linePitch="360"/>
        </w:sectPr>
      </w:pPr>
      <w:r w:rsidRPr="00E57E18">
        <w:rPr>
          <w:rFonts w:eastAsia="Times New Roman"/>
          <w:color w:val="222222"/>
          <w:szCs w:val="24"/>
        </w:rPr>
        <w:t>Bacteria will be extracted</w:t>
      </w:r>
      <w:r w:rsidRPr="00E57E18">
        <w:rPr>
          <w:szCs w:val="24"/>
        </w:rPr>
        <w:t xml:space="preserve"> from the food waste anaerobic digester (AD) here at UC Davis, which my initial experiments have shown contain a microbial community capable of </w:t>
      </w:r>
      <w:proofErr w:type="spellStart"/>
      <w:r w:rsidRPr="00E57E18">
        <w:rPr>
          <w:szCs w:val="24"/>
        </w:rPr>
        <w:t>electrogenesis</w:t>
      </w:r>
      <w:proofErr w:type="spellEnd"/>
      <w:r w:rsidRPr="00E57E18">
        <w:rPr>
          <w:szCs w:val="24"/>
        </w:rPr>
        <w:t xml:space="preserve">. This bacterial community will then be inoculated into MFCs according to a response surface design (central composite) with 3 operating temperatures x 3 different acetate concentrations added during startup. The three operating temperatures are chosen to be 30°C, 42.5°C and 55°C due to 30°C and 55°C being common temperatures for anaerobic digesters with one temperature in between to determine second order effects. Acetate concentration of 20 </w:t>
      </w:r>
      <w:proofErr w:type="spellStart"/>
      <w:r w:rsidRPr="00E57E18">
        <w:rPr>
          <w:szCs w:val="24"/>
        </w:rPr>
        <w:t>mM</w:t>
      </w:r>
      <w:proofErr w:type="spellEnd"/>
      <w:r w:rsidRPr="00E57E18">
        <w:rPr>
          <w:szCs w:val="24"/>
        </w:rPr>
        <w:t xml:space="preserve"> is chosen through existing literature as an optimal quantity </w:t>
      </w:r>
      <w:r w:rsidRPr="00E57E18">
        <w:rPr>
          <w:szCs w:val="24"/>
        </w:rPr>
        <w:fldChar w:fldCharType="begin">
          <w:fldData xml:space="preserve">PEVuZE5vdGU+PENpdGU+PEF1dGhvcj5TdW48L0F1dGhvcj48WWVhcj4yMDE1PC9ZZWFyPjxSZWNO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</w:fldData>
        </w:fldChar>
      </w:r>
      <w:r w:rsidRPr="00E57E18">
        <w:rPr>
          <w:szCs w:val="24"/>
        </w:rPr>
        <w:instrText xml:space="preserve"> ADDIN EN.CITE </w:instrText>
      </w:r>
      <w:r w:rsidRPr="00E57E18">
        <w:rPr>
          <w:szCs w:val="24"/>
        </w:rPr>
        <w:fldChar w:fldCharType="begin">
          <w:fldData xml:space="preserve">PEVuZE5vdGU+PENpdGU+PEF1dGhvcj5TdW48L0F1dGhvcj48WWVhcj4yMDE1PC9ZZWFyPjxSZWNO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</w:fldData>
        </w:fldChar>
      </w:r>
      <w:r w:rsidRPr="00E57E18">
        <w:rPr>
          <w:szCs w:val="24"/>
        </w:rPr>
        <w:instrText xml:space="preserve"> ADDIN EN.CITE.DATA </w:instrText>
      </w:r>
      <w:r w:rsidRPr="00E57E18">
        <w:rPr>
          <w:szCs w:val="24"/>
        </w:rPr>
      </w:r>
      <w:r w:rsidRPr="00E57E18">
        <w:rPr>
          <w:szCs w:val="24"/>
        </w:rPr>
        <w:fldChar w:fldCharType="end"/>
      </w:r>
      <w:r w:rsidRPr="00E57E18">
        <w:rPr>
          <w:szCs w:val="24"/>
        </w:rPr>
      </w:r>
      <w:r w:rsidRPr="00E57E18">
        <w:rPr>
          <w:szCs w:val="24"/>
        </w:rPr>
        <w:fldChar w:fldCharType="separate"/>
      </w:r>
      <w:r w:rsidRPr="00E57E18">
        <w:rPr>
          <w:noProof/>
          <w:szCs w:val="24"/>
        </w:rPr>
        <w:t>(Sun et al., 2015)</w:t>
      </w:r>
      <w:r w:rsidRPr="00E57E18">
        <w:rPr>
          <w:szCs w:val="24"/>
        </w:rPr>
        <w:fldChar w:fldCharType="end"/>
      </w:r>
      <w:r w:rsidRPr="00E57E18">
        <w:rPr>
          <w:szCs w:val="24"/>
        </w:rPr>
        <w:t xml:space="preserve"> and 40 </w:t>
      </w:r>
      <w:proofErr w:type="spellStart"/>
      <w:r w:rsidRPr="00E57E18">
        <w:rPr>
          <w:szCs w:val="24"/>
        </w:rPr>
        <w:t>mM</w:t>
      </w:r>
      <w:proofErr w:type="spellEnd"/>
      <w:r w:rsidRPr="00E57E18">
        <w:rPr>
          <w:szCs w:val="24"/>
        </w:rPr>
        <w:t xml:space="preserve"> is chosen due to lack of knowledge in the literature on this factor level. 5 replicates will be added at the center point for an independent measure of population variance. This experimental design includes a total of 8+5=13 MFCs</w:t>
      </w:r>
      <w:r w:rsidR="000E13A5" w:rsidRPr="00E57E18">
        <w:rPr>
          <w:szCs w:val="24"/>
        </w:rPr>
        <w:t xml:space="preserve"> for treatment, plus one for control, plus one for validation. This is a total of 15 MFCs (see table below)</w:t>
      </w:r>
      <w:r w:rsidRPr="00E57E18">
        <w:rPr>
          <w:szCs w:val="24"/>
        </w:rPr>
        <w:t xml:space="preserve">. </w:t>
      </w:r>
    </w:p>
    <w:tbl>
      <w:tblPr>
        <w:tblW w:w="14887" w:type="dxa"/>
        <w:tblInd w:w="-990" w:type="dxa"/>
        <w:tblCellMar>
          <w:top w:w="15" w:type="dxa"/>
          <w:bottom w:w="15" w:type="dxa"/>
        </w:tblCellMar>
        <w:tblLook w:val="04A0" w:firstRow="1" w:lastRow="0" w:firstColumn="1" w:lastColumn="0" w:noHBand="0" w:noVBand="1"/>
      </w:tblPr>
      <w:tblGrid>
        <w:gridCol w:w="540"/>
        <w:gridCol w:w="939"/>
        <w:gridCol w:w="762"/>
        <w:gridCol w:w="720"/>
        <w:gridCol w:w="1187"/>
        <w:gridCol w:w="1243"/>
        <w:gridCol w:w="1592"/>
        <w:gridCol w:w="1468"/>
        <w:gridCol w:w="1350"/>
        <w:gridCol w:w="1025"/>
        <w:gridCol w:w="1167"/>
        <w:gridCol w:w="949"/>
        <w:gridCol w:w="1048"/>
        <w:gridCol w:w="978"/>
      </w:tblGrid>
      <w:tr w:rsidR="00E57E18" w:rsidRPr="00E57E18" w14:paraId="714D1BA7" w14:textId="77777777" w:rsidTr="00E57E18">
        <w:trPr>
          <w:trHeight w:val="300"/>
        </w:trPr>
        <w:tc>
          <w:tcPr>
            <w:tcW w:w="540" w:type="dxa"/>
            <w:tcBorders>
              <w:top w:val="nil"/>
              <w:left w:val="nil"/>
              <w:bottom w:val="nil"/>
              <w:right w:val="nil"/>
            </w:tcBorders>
            <w:noWrap/>
            <w:vAlign w:val="bottom"/>
            <w:hideMark/>
          </w:tcPr>
          <w:p w14:paraId="59D1F4BE" w14:textId="77777777" w:rsidR="00E57E18" w:rsidRPr="00E57E18" w:rsidRDefault="00E57E18" w:rsidP="00E57E18">
            <w:pPr>
              <w:spacing w:line="240" w:lineRule="auto"/>
              <w:ind w:firstLine="0"/>
              <w:rPr>
                <w:rFonts w:eastAsia="Times New Roman"/>
                <w:sz w:val="14"/>
                <w:szCs w:val="24"/>
              </w:rPr>
            </w:pPr>
          </w:p>
        </w:tc>
        <w:tc>
          <w:tcPr>
            <w:tcW w:w="858" w:type="dxa"/>
            <w:tcBorders>
              <w:top w:val="nil"/>
              <w:left w:val="nil"/>
              <w:bottom w:val="nil"/>
              <w:right w:val="nil"/>
            </w:tcBorders>
            <w:noWrap/>
            <w:vAlign w:val="bottom"/>
            <w:hideMark/>
          </w:tcPr>
          <w:p w14:paraId="66A714E8" w14:textId="77777777" w:rsidR="00E57E18" w:rsidRPr="00E57E18" w:rsidRDefault="00E57E18" w:rsidP="00E57E18">
            <w:pPr>
              <w:spacing w:line="240" w:lineRule="auto"/>
              <w:ind w:firstLine="0"/>
              <w:rPr>
                <w:rFonts w:eastAsia="Times New Roman"/>
                <w:sz w:val="14"/>
                <w:szCs w:val="20"/>
              </w:rPr>
            </w:pPr>
          </w:p>
        </w:tc>
        <w:tc>
          <w:tcPr>
            <w:tcW w:w="762" w:type="dxa"/>
            <w:tcBorders>
              <w:top w:val="nil"/>
              <w:left w:val="nil"/>
              <w:bottom w:val="nil"/>
              <w:right w:val="nil"/>
            </w:tcBorders>
            <w:noWrap/>
            <w:vAlign w:val="bottom"/>
            <w:hideMark/>
          </w:tcPr>
          <w:p w14:paraId="32D9FA19" w14:textId="77777777" w:rsidR="00E57E18" w:rsidRPr="00E57E18" w:rsidRDefault="00E57E18" w:rsidP="00E57E18">
            <w:pPr>
              <w:spacing w:line="240" w:lineRule="auto"/>
              <w:ind w:hanging="23"/>
              <w:rPr>
                <w:rFonts w:eastAsia="Times New Roman"/>
                <w:sz w:val="14"/>
                <w:szCs w:val="20"/>
              </w:rPr>
            </w:pPr>
          </w:p>
        </w:tc>
        <w:tc>
          <w:tcPr>
            <w:tcW w:w="720" w:type="dxa"/>
            <w:tcBorders>
              <w:top w:val="nil"/>
              <w:left w:val="nil"/>
              <w:bottom w:val="nil"/>
              <w:right w:val="nil"/>
            </w:tcBorders>
            <w:noWrap/>
            <w:vAlign w:val="bottom"/>
            <w:hideMark/>
          </w:tcPr>
          <w:p w14:paraId="6F5C678C" w14:textId="77777777" w:rsidR="00E57E18" w:rsidRPr="00E57E18" w:rsidRDefault="00E57E18" w:rsidP="00E57E18">
            <w:pPr>
              <w:spacing w:line="240" w:lineRule="auto"/>
              <w:ind w:firstLine="0"/>
              <w:rPr>
                <w:rFonts w:eastAsia="Times New Roman"/>
                <w:sz w:val="14"/>
                <w:szCs w:val="20"/>
              </w:rPr>
            </w:pPr>
          </w:p>
        </w:tc>
        <w:tc>
          <w:tcPr>
            <w:tcW w:w="4022" w:type="dxa"/>
            <w:gridSpan w:val="3"/>
            <w:tcBorders>
              <w:top w:val="single" w:sz="4" w:space="0" w:color="auto"/>
              <w:left w:val="single" w:sz="4" w:space="0" w:color="auto"/>
              <w:bottom w:val="single" w:sz="4" w:space="0" w:color="auto"/>
              <w:right w:val="single" w:sz="4" w:space="0" w:color="auto"/>
            </w:tcBorders>
            <w:noWrap/>
            <w:vAlign w:val="bottom"/>
            <w:hideMark/>
          </w:tcPr>
          <w:p w14:paraId="46FD573A" w14:textId="77777777" w:rsidR="00E57E18" w:rsidRPr="00E57E18" w:rsidRDefault="00E57E18" w:rsidP="00E57E18">
            <w:pPr>
              <w:spacing w:line="240" w:lineRule="auto"/>
              <w:ind w:firstLine="0"/>
              <w:jc w:val="center"/>
              <w:rPr>
                <w:rFonts w:ascii="Calibri" w:eastAsia="Times New Roman" w:hAnsi="Calibri" w:cs="Calibri"/>
                <w:color w:val="000000"/>
                <w:sz w:val="16"/>
              </w:rPr>
            </w:pPr>
            <w:r w:rsidRPr="00E57E18">
              <w:rPr>
                <w:rFonts w:ascii="Calibri" w:eastAsia="Times New Roman" w:hAnsi="Calibri" w:cs="Calibri"/>
                <w:color w:val="000000"/>
                <w:sz w:val="16"/>
              </w:rPr>
              <w:t>MFC Power Metrics</w:t>
            </w:r>
          </w:p>
        </w:tc>
        <w:tc>
          <w:tcPr>
            <w:tcW w:w="5010" w:type="dxa"/>
            <w:gridSpan w:val="4"/>
            <w:tcBorders>
              <w:top w:val="single" w:sz="4" w:space="0" w:color="auto"/>
              <w:left w:val="single" w:sz="4" w:space="0" w:color="auto"/>
              <w:bottom w:val="single" w:sz="4" w:space="0" w:color="auto"/>
              <w:right w:val="single" w:sz="4" w:space="0" w:color="auto"/>
            </w:tcBorders>
            <w:noWrap/>
            <w:vAlign w:val="bottom"/>
            <w:hideMark/>
          </w:tcPr>
          <w:p w14:paraId="00081F2C" w14:textId="77777777" w:rsidR="00E57E18" w:rsidRPr="00E57E18" w:rsidRDefault="00E57E18" w:rsidP="00E57E18">
            <w:pPr>
              <w:spacing w:line="240" w:lineRule="auto"/>
              <w:ind w:firstLine="0"/>
              <w:jc w:val="center"/>
              <w:rPr>
                <w:rFonts w:ascii="Calibri" w:eastAsia="Times New Roman" w:hAnsi="Calibri" w:cs="Calibri"/>
                <w:color w:val="000000"/>
                <w:sz w:val="16"/>
              </w:rPr>
            </w:pPr>
            <w:r w:rsidRPr="00E57E18">
              <w:rPr>
                <w:rFonts w:ascii="Calibri" w:eastAsia="Times New Roman" w:hAnsi="Calibri" w:cs="Calibri"/>
                <w:color w:val="000000"/>
                <w:sz w:val="16"/>
              </w:rPr>
              <w:t>Biofilm</w:t>
            </w:r>
          </w:p>
        </w:tc>
        <w:tc>
          <w:tcPr>
            <w:tcW w:w="2975" w:type="dxa"/>
            <w:gridSpan w:val="3"/>
            <w:tcBorders>
              <w:top w:val="single" w:sz="4" w:space="0" w:color="auto"/>
              <w:left w:val="single" w:sz="4" w:space="0" w:color="auto"/>
              <w:bottom w:val="single" w:sz="4" w:space="0" w:color="auto"/>
              <w:right w:val="single" w:sz="4" w:space="0" w:color="auto"/>
            </w:tcBorders>
            <w:noWrap/>
            <w:vAlign w:val="bottom"/>
            <w:hideMark/>
          </w:tcPr>
          <w:p w14:paraId="52A078F4" w14:textId="77777777" w:rsidR="00E57E18" w:rsidRPr="00E57E18" w:rsidRDefault="00E57E18" w:rsidP="00E57E18">
            <w:pPr>
              <w:spacing w:line="240" w:lineRule="auto"/>
              <w:ind w:firstLine="0"/>
              <w:jc w:val="center"/>
              <w:rPr>
                <w:rFonts w:ascii="Calibri" w:eastAsia="Times New Roman" w:hAnsi="Calibri" w:cs="Calibri"/>
                <w:color w:val="000000"/>
                <w:sz w:val="16"/>
              </w:rPr>
            </w:pPr>
            <w:r w:rsidRPr="00E57E18">
              <w:rPr>
                <w:rFonts w:ascii="Calibri" w:eastAsia="Times New Roman" w:hAnsi="Calibri" w:cs="Calibri"/>
                <w:color w:val="000000"/>
                <w:sz w:val="16"/>
              </w:rPr>
              <w:t>Microbial Ecology</w:t>
            </w:r>
          </w:p>
        </w:tc>
      </w:tr>
      <w:tr w:rsidR="00E57E18" w:rsidRPr="00E57E18" w14:paraId="30C2D425"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362ADC8A" w14:textId="32424428" w:rsidR="00E57E18" w:rsidRPr="00E57E18" w:rsidRDefault="00E57E18" w:rsidP="00E57E18">
            <w:pPr>
              <w:spacing w:line="240" w:lineRule="auto"/>
              <w:ind w:firstLine="0"/>
              <w:rPr>
                <w:rFonts w:ascii="Calibri" w:eastAsia="Times New Roman" w:hAnsi="Calibri" w:cs="Calibri"/>
                <w:color w:val="000000"/>
                <w:sz w:val="16"/>
              </w:rPr>
            </w:pPr>
            <w:bookmarkStart w:id="3" w:name="data_sheet!A2:N15"/>
            <w:r w:rsidRPr="00E57E18">
              <w:rPr>
                <w:rFonts w:ascii="Calibri" w:eastAsia="Times New Roman" w:hAnsi="Calibri" w:cs="Calibri"/>
                <w:color w:val="000000"/>
                <w:sz w:val="16"/>
              </w:rPr>
              <w:t>run</w:t>
            </w:r>
            <w:bookmarkEnd w:id="3"/>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255B722D"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type</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4037EC3C" w14:textId="77777777" w:rsidR="00E57E18" w:rsidRPr="00E57E18" w:rsidRDefault="00E57E18" w:rsidP="00E57E18">
            <w:pPr>
              <w:spacing w:line="240" w:lineRule="auto"/>
              <w:ind w:hanging="23"/>
              <w:rPr>
                <w:rFonts w:ascii="Calibri" w:eastAsia="Times New Roman" w:hAnsi="Calibri" w:cs="Calibri"/>
                <w:color w:val="000000"/>
                <w:sz w:val="16"/>
              </w:rPr>
            </w:pPr>
            <w:r w:rsidRPr="00E57E18">
              <w:rPr>
                <w:rFonts w:ascii="Calibri" w:eastAsia="Times New Roman" w:hAnsi="Calibri" w:cs="Calibri"/>
                <w:color w:val="000000"/>
                <w:sz w:val="16"/>
              </w:rPr>
              <w:t>temp</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3C6E8301"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acetate</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76A48298" w14:textId="77777777" w:rsidR="00E57E18" w:rsidRPr="00E57E18" w:rsidRDefault="00E57E18" w:rsidP="00E57E18">
            <w:pPr>
              <w:spacing w:line="240" w:lineRule="auto"/>
              <w:ind w:firstLine="0"/>
              <w:rPr>
                <w:rFonts w:ascii="Calibri" w:eastAsia="Times New Roman" w:hAnsi="Calibri" w:cs="Calibri"/>
                <w:color w:val="000000"/>
                <w:sz w:val="16"/>
              </w:rPr>
            </w:pPr>
            <w:proofErr w:type="spellStart"/>
            <w:r w:rsidRPr="00E57E18">
              <w:rPr>
                <w:rFonts w:ascii="Calibri" w:eastAsia="Times New Roman" w:hAnsi="Calibri" w:cs="Calibri"/>
                <w:color w:val="000000"/>
                <w:sz w:val="16"/>
              </w:rPr>
              <w:t>power_density</w:t>
            </w:r>
            <w:proofErr w:type="spellEnd"/>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2032FB21" w14:textId="77777777" w:rsidR="00E57E18" w:rsidRPr="00E57E18" w:rsidRDefault="00E57E18" w:rsidP="00E57E18">
            <w:pPr>
              <w:spacing w:line="240" w:lineRule="auto"/>
              <w:ind w:firstLine="0"/>
              <w:rPr>
                <w:rFonts w:ascii="Calibri" w:eastAsia="Times New Roman" w:hAnsi="Calibri" w:cs="Calibri"/>
                <w:color w:val="000000"/>
                <w:sz w:val="16"/>
              </w:rPr>
            </w:pPr>
            <w:proofErr w:type="spellStart"/>
            <w:r w:rsidRPr="00E57E18">
              <w:rPr>
                <w:rFonts w:ascii="Calibri" w:eastAsia="Times New Roman" w:hAnsi="Calibri" w:cs="Calibri"/>
                <w:color w:val="000000"/>
                <w:sz w:val="16"/>
              </w:rPr>
              <w:t>COD_reduction</w:t>
            </w:r>
            <w:proofErr w:type="spellEnd"/>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5ED8E8D8" w14:textId="77777777" w:rsidR="00E57E18" w:rsidRPr="00E57E18" w:rsidRDefault="00E57E18" w:rsidP="00E57E18">
            <w:pPr>
              <w:spacing w:line="240" w:lineRule="auto"/>
              <w:ind w:firstLine="0"/>
              <w:rPr>
                <w:rFonts w:ascii="Calibri" w:eastAsia="Times New Roman" w:hAnsi="Calibri" w:cs="Calibri"/>
                <w:color w:val="000000"/>
                <w:sz w:val="16"/>
              </w:rPr>
            </w:pPr>
            <w:proofErr w:type="spellStart"/>
            <w:r w:rsidRPr="00E57E18">
              <w:rPr>
                <w:rFonts w:ascii="Calibri" w:eastAsia="Times New Roman" w:hAnsi="Calibri" w:cs="Calibri"/>
                <w:color w:val="000000"/>
                <w:sz w:val="16"/>
              </w:rPr>
              <w:t>coulombic_efficiency</w:t>
            </w:r>
            <w:proofErr w:type="spellEnd"/>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426987BA" w14:textId="77777777" w:rsidR="00E57E18" w:rsidRPr="00E57E18" w:rsidRDefault="00E57E18" w:rsidP="00E57E18">
            <w:pPr>
              <w:spacing w:line="240" w:lineRule="auto"/>
              <w:ind w:firstLine="0"/>
              <w:rPr>
                <w:rFonts w:ascii="Calibri" w:eastAsia="Times New Roman" w:hAnsi="Calibri" w:cs="Calibri"/>
                <w:color w:val="000000"/>
                <w:sz w:val="16"/>
              </w:rPr>
            </w:pPr>
            <w:proofErr w:type="spellStart"/>
            <w:r w:rsidRPr="00E57E18">
              <w:rPr>
                <w:rFonts w:ascii="Calibri" w:eastAsia="Times New Roman" w:hAnsi="Calibri" w:cs="Calibri"/>
                <w:color w:val="000000"/>
                <w:sz w:val="16"/>
              </w:rPr>
              <w:t>biofilm_thickness</w:t>
            </w:r>
            <w:proofErr w:type="spellEnd"/>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6588BB91" w14:textId="77777777" w:rsidR="00E57E18" w:rsidRPr="00E57E18" w:rsidRDefault="00E57E18" w:rsidP="00E57E18">
            <w:pPr>
              <w:spacing w:line="240" w:lineRule="auto"/>
              <w:ind w:firstLine="0"/>
              <w:rPr>
                <w:rFonts w:ascii="Calibri" w:eastAsia="Times New Roman" w:hAnsi="Calibri" w:cs="Calibri"/>
                <w:color w:val="000000"/>
                <w:sz w:val="16"/>
              </w:rPr>
            </w:pPr>
            <w:proofErr w:type="spellStart"/>
            <w:r w:rsidRPr="00E57E18">
              <w:rPr>
                <w:rFonts w:ascii="Calibri" w:eastAsia="Times New Roman" w:hAnsi="Calibri" w:cs="Calibri"/>
                <w:color w:val="000000"/>
                <w:sz w:val="16"/>
              </w:rPr>
              <w:t>live_dead_ratio</w:t>
            </w:r>
            <w:proofErr w:type="spellEnd"/>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49909114" w14:textId="77777777" w:rsidR="00E57E18" w:rsidRPr="00E57E18" w:rsidRDefault="00E57E18" w:rsidP="00E57E18">
            <w:pPr>
              <w:spacing w:line="240" w:lineRule="auto"/>
              <w:ind w:firstLine="0"/>
              <w:rPr>
                <w:rFonts w:ascii="Calibri" w:eastAsia="Times New Roman" w:hAnsi="Calibri" w:cs="Calibri"/>
                <w:color w:val="000000"/>
                <w:sz w:val="16"/>
              </w:rPr>
            </w:pPr>
            <w:proofErr w:type="spellStart"/>
            <w:r w:rsidRPr="00E57E18">
              <w:rPr>
                <w:rFonts w:ascii="Calibri" w:eastAsia="Times New Roman" w:hAnsi="Calibri" w:cs="Calibri"/>
                <w:color w:val="000000"/>
                <w:sz w:val="16"/>
              </w:rPr>
              <w:t>live_cells</w:t>
            </w:r>
            <w:proofErr w:type="spellEnd"/>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4A1A7937" w14:textId="77777777" w:rsidR="00E57E18" w:rsidRPr="00E57E18" w:rsidRDefault="00E57E18" w:rsidP="00E57E18">
            <w:pPr>
              <w:spacing w:line="240" w:lineRule="auto"/>
              <w:ind w:firstLine="0"/>
              <w:rPr>
                <w:rFonts w:ascii="Calibri" w:eastAsia="Times New Roman" w:hAnsi="Calibri" w:cs="Calibri"/>
                <w:color w:val="000000"/>
                <w:sz w:val="16"/>
              </w:rPr>
            </w:pPr>
            <w:proofErr w:type="spellStart"/>
            <w:r w:rsidRPr="00E57E18">
              <w:rPr>
                <w:rFonts w:ascii="Calibri" w:eastAsia="Times New Roman" w:hAnsi="Calibri" w:cs="Calibri"/>
                <w:color w:val="000000"/>
                <w:sz w:val="16"/>
              </w:rPr>
              <w:t>dead_cells</w:t>
            </w:r>
            <w:proofErr w:type="spellEnd"/>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74A921B9"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richness</w:t>
            </w: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177FA1E2"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evenness</w:t>
            </w: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16720F54"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diversity</w:t>
            </w:r>
          </w:p>
        </w:tc>
      </w:tr>
      <w:tr w:rsidR="00E57E18" w:rsidRPr="00E57E18" w14:paraId="36240B90"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3D5165FC"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1</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76C24684"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corner</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16182B38" w14:textId="77777777" w:rsidR="00E57E18" w:rsidRPr="00E57E18" w:rsidRDefault="00E57E18" w:rsidP="00E57E18">
            <w:pPr>
              <w:spacing w:line="240" w:lineRule="auto"/>
              <w:ind w:hanging="23"/>
              <w:jc w:val="right"/>
              <w:rPr>
                <w:rFonts w:ascii="Calibri" w:eastAsia="Times New Roman" w:hAnsi="Calibri" w:cs="Calibri"/>
                <w:color w:val="000000"/>
                <w:sz w:val="16"/>
              </w:rPr>
            </w:pPr>
            <w:bookmarkStart w:id="4" w:name="data_sheet!C3:C15"/>
            <w:r w:rsidRPr="00E57E18">
              <w:rPr>
                <w:rFonts w:ascii="Calibri" w:eastAsia="Times New Roman" w:hAnsi="Calibri" w:cs="Calibri"/>
                <w:color w:val="000000"/>
                <w:sz w:val="16"/>
              </w:rPr>
              <w:t>-1</w:t>
            </w:r>
            <w:bookmarkEnd w:id="4"/>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383EC129" w14:textId="5FA448A5" w:rsidR="00E57E18" w:rsidRPr="00E57E18" w:rsidRDefault="00E57E18" w:rsidP="00E57E18">
            <w:pPr>
              <w:spacing w:line="240" w:lineRule="auto"/>
              <w:ind w:firstLine="0"/>
              <w:jc w:val="right"/>
              <w:rPr>
                <w:rFonts w:ascii="Calibri" w:eastAsia="Times New Roman" w:hAnsi="Calibri" w:cs="Calibri"/>
                <w:color w:val="000000"/>
                <w:sz w:val="16"/>
              </w:rPr>
            </w:pPr>
            <w:bookmarkStart w:id="5" w:name="data_sheet!D3:D15"/>
            <w:r w:rsidRPr="00E57E18">
              <w:rPr>
                <w:rFonts w:ascii="Calibri" w:eastAsia="Times New Roman" w:hAnsi="Calibri" w:cs="Calibri"/>
                <w:color w:val="000000"/>
                <w:sz w:val="16"/>
              </w:rPr>
              <w:t>-1</w:t>
            </w:r>
            <w:bookmarkEnd w:id="5"/>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5A85161D"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3EAE36AB"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3C7419AF"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4D0A2710"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19897E83"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4AC71811"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52F33205"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56D2CE98"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704C82D2"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424397D1" w14:textId="77777777" w:rsidR="00E57E18" w:rsidRPr="00E57E18" w:rsidRDefault="00E57E18" w:rsidP="00E57E18">
            <w:pPr>
              <w:spacing w:line="240" w:lineRule="auto"/>
              <w:ind w:firstLine="0"/>
              <w:rPr>
                <w:rFonts w:eastAsia="Times New Roman"/>
                <w:sz w:val="14"/>
                <w:szCs w:val="20"/>
              </w:rPr>
            </w:pPr>
          </w:p>
        </w:tc>
      </w:tr>
      <w:tr w:rsidR="00E57E18" w:rsidRPr="00E57E18" w14:paraId="3C35A7C1"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1FDC569A"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2</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62F309C4"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corner</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20CA8A68" w14:textId="77777777" w:rsidR="00E57E18" w:rsidRPr="00E57E18" w:rsidRDefault="00E57E18" w:rsidP="00E57E18">
            <w:pPr>
              <w:spacing w:line="240" w:lineRule="auto"/>
              <w:ind w:hanging="23"/>
              <w:jc w:val="right"/>
              <w:rPr>
                <w:rFonts w:ascii="Calibri" w:eastAsia="Times New Roman" w:hAnsi="Calibri" w:cs="Calibri"/>
                <w:color w:val="000000"/>
                <w:sz w:val="16"/>
              </w:rPr>
            </w:pPr>
            <w:r w:rsidRPr="00E57E18">
              <w:rPr>
                <w:rFonts w:ascii="Calibri" w:eastAsia="Times New Roman" w:hAnsi="Calibri" w:cs="Calibri"/>
                <w:color w:val="000000"/>
                <w:sz w:val="16"/>
              </w:rPr>
              <w:t>-1</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152C8855"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1</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6876E278"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33DAFB46"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72E6728F"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0DC5D8C1"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7A1920E0"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310F3D7E"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30B6D807"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718A426E"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60237783"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4BACB8AD" w14:textId="77777777" w:rsidR="00E57E18" w:rsidRPr="00E57E18" w:rsidRDefault="00E57E18" w:rsidP="00E57E18">
            <w:pPr>
              <w:spacing w:line="240" w:lineRule="auto"/>
              <w:ind w:firstLine="0"/>
              <w:rPr>
                <w:rFonts w:eastAsia="Times New Roman"/>
                <w:sz w:val="14"/>
                <w:szCs w:val="20"/>
              </w:rPr>
            </w:pPr>
          </w:p>
        </w:tc>
      </w:tr>
      <w:tr w:rsidR="00E57E18" w:rsidRPr="00E57E18" w14:paraId="2BB87452"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717167F5"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3</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26AE21D5"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corner</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0154BDBA" w14:textId="77777777" w:rsidR="00E57E18" w:rsidRPr="00E57E18" w:rsidRDefault="00E57E18" w:rsidP="00E57E18">
            <w:pPr>
              <w:spacing w:line="240" w:lineRule="auto"/>
              <w:ind w:hanging="23"/>
              <w:jc w:val="right"/>
              <w:rPr>
                <w:rFonts w:ascii="Calibri" w:eastAsia="Times New Roman" w:hAnsi="Calibri" w:cs="Calibri"/>
                <w:color w:val="000000"/>
                <w:sz w:val="16"/>
              </w:rPr>
            </w:pPr>
            <w:r w:rsidRPr="00E57E18">
              <w:rPr>
                <w:rFonts w:ascii="Calibri" w:eastAsia="Times New Roman" w:hAnsi="Calibri" w:cs="Calibri"/>
                <w:color w:val="000000"/>
                <w:sz w:val="16"/>
              </w:rPr>
              <w:t>1</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2AFF37C7"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-1</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1C0B9168"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02D60609"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67B2286C"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38C5B2AF"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1364A48A"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1709081E"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50893366"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3A85BB5A"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377149BB"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10266334" w14:textId="77777777" w:rsidR="00E57E18" w:rsidRPr="00E57E18" w:rsidRDefault="00E57E18" w:rsidP="00E57E18">
            <w:pPr>
              <w:spacing w:line="240" w:lineRule="auto"/>
              <w:ind w:firstLine="0"/>
              <w:rPr>
                <w:rFonts w:eastAsia="Times New Roman"/>
                <w:sz w:val="14"/>
                <w:szCs w:val="20"/>
              </w:rPr>
            </w:pPr>
          </w:p>
        </w:tc>
      </w:tr>
      <w:tr w:rsidR="00E57E18" w:rsidRPr="00E57E18" w14:paraId="52EC2874"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5E532AA1"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4</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37974F36"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corner</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42C69399" w14:textId="77777777" w:rsidR="00E57E18" w:rsidRPr="00E57E18" w:rsidRDefault="00E57E18" w:rsidP="00E57E18">
            <w:pPr>
              <w:spacing w:line="240" w:lineRule="auto"/>
              <w:ind w:hanging="23"/>
              <w:jc w:val="right"/>
              <w:rPr>
                <w:rFonts w:ascii="Calibri" w:eastAsia="Times New Roman" w:hAnsi="Calibri" w:cs="Calibri"/>
                <w:color w:val="000000"/>
                <w:sz w:val="16"/>
              </w:rPr>
            </w:pPr>
            <w:r w:rsidRPr="00E57E18">
              <w:rPr>
                <w:rFonts w:ascii="Calibri" w:eastAsia="Times New Roman" w:hAnsi="Calibri" w:cs="Calibri"/>
                <w:color w:val="000000"/>
                <w:sz w:val="16"/>
              </w:rPr>
              <w:t>1</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57192B46"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1</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7B9DFC56"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76E65C43"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7E6E5B44"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6AB03351"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04AD8EC2"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114A6446"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6DF582F4"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7EADCD50"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6CAA6DDF"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6145EEEF" w14:textId="77777777" w:rsidR="00E57E18" w:rsidRPr="00E57E18" w:rsidRDefault="00E57E18" w:rsidP="00E57E18">
            <w:pPr>
              <w:spacing w:line="240" w:lineRule="auto"/>
              <w:ind w:firstLine="0"/>
              <w:rPr>
                <w:rFonts w:eastAsia="Times New Roman"/>
                <w:sz w:val="14"/>
                <w:szCs w:val="20"/>
              </w:rPr>
            </w:pPr>
          </w:p>
        </w:tc>
      </w:tr>
      <w:tr w:rsidR="00E57E18" w:rsidRPr="00E57E18" w14:paraId="0145812A"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48D8DDFB"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5</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42C8B8FB"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edge</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296D4403" w14:textId="77777777" w:rsidR="00E57E18" w:rsidRPr="00E57E18" w:rsidRDefault="00E57E18" w:rsidP="00E57E18">
            <w:pPr>
              <w:spacing w:line="240" w:lineRule="auto"/>
              <w:ind w:hanging="23"/>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5FD6DDDC"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-1</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510A38A8"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102C68EA"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12C1915B"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26F21A50"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30E84921"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5A4A3733"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6C3492EA"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37F510B9"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4F8F4A78"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4728BF73" w14:textId="77777777" w:rsidR="00E57E18" w:rsidRPr="00E57E18" w:rsidRDefault="00E57E18" w:rsidP="00E57E18">
            <w:pPr>
              <w:spacing w:line="240" w:lineRule="auto"/>
              <w:ind w:firstLine="0"/>
              <w:rPr>
                <w:rFonts w:eastAsia="Times New Roman"/>
                <w:sz w:val="14"/>
                <w:szCs w:val="20"/>
              </w:rPr>
            </w:pPr>
          </w:p>
        </w:tc>
      </w:tr>
      <w:tr w:rsidR="00E57E18" w:rsidRPr="00E57E18" w14:paraId="00842888"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6278C853"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6</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4EAA0E77"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edge</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6CF9C943" w14:textId="77777777" w:rsidR="00E57E18" w:rsidRPr="00E57E18" w:rsidRDefault="00E57E18" w:rsidP="00E57E18">
            <w:pPr>
              <w:spacing w:line="240" w:lineRule="auto"/>
              <w:ind w:hanging="23"/>
              <w:jc w:val="right"/>
              <w:rPr>
                <w:rFonts w:ascii="Calibri" w:eastAsia="Times New Roman" w:hAnsi="Calibri" w:cs="Calibri"/>
                <w:color w:val="000000"/>
                <w:sz w:val="16"/>
              </w:rPr>
            </w:pPr>
            <w:r w:rsidRPr="00E57E18">
              <w:rPr>
                <w:rFonts w:ascii="Calibri" w:eastAsia="Times New Roman" w:hAnsi="Calibri" w:cs="Calibri"/>
                <w:color w:val="000000"/>
                <w:sz w:val="16"/>
              </w:rPr>
              <w:t>-1</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45AB0DF8"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4E43BC08"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1791700D"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418460D7"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0E83E1D7"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747B9E63"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45783F64"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3124A9E2"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669612AC"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26574CF1"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7E2F8812" w14:textId="77777777" w:rsidR="00E57E18" w:rsidRPr="00E57E18" w:rsidRDefault="00E57E18" w:rsidP="00E57E18">
            <w:pPr>
              <w:spacing w:line="240" w:lineRule="auto"/>
              <w:ind w:firstLine="0"/>
              <w:rPr>
                <w:rFonts w:eastAsia="Times New Roman"/>
                <w:sz w:val="14"/>
                <w:szCs w:val="20"/>
              </w:rPr>
            </w:pPr>
          </w:p>
        </w:tc>
      </w:tr>
      <w:tr w:rsidR="00E57E18" w:rsidRPr="00E57E18" w14:paraId="520F316A"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6913A4F9"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7</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31ACCDCF"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edge</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4D604BF9" w14:textId="77777777" w:rsidR="00E57E18" w:rsidRPr="00E57E18" w:rsidRDefault="00E57E18" w:rsidP="00E57E18">
            <w:pPr>
              <w:spacing w:line="240" w:lineRule="auto"/>
              <w:ind w:hanging="23"/>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024F7E21"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1</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3EA67654"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13165328"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5A80D975"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1C2332A0"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0D59E4CB"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4CAAE9DB"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53DA538B"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79C3E54B"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6B405A5E"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1ED7A630" w14:textId="77777777" w:rsidR="00E57E18" w:rsidRPr="00E57E18" w:rsidRDefault="00E57E18" w:rsidP="00E57E18">
            <w:pPr>
              <w:spacing w:line="240" w:lineRule="auto"/>
              <w:ind w:firstLine="0"/>
              <w:rPr>
                <w:rFonts w:eastAsia="Times New Roman"/>
                <w:sz w:val="14"/>
                <w:szCs w:val="20"/>
              </w:rPr>
            </w:pPr>
          </w:p>
        </w:tc>
      </w:tr>
      <w:tr w:rsidR="00E57E18" w:rsidRPr="00E57E18" w14:paraId="7A93BA17"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2BE78F45"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8</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6D7002C9"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edge</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7D27C61D" w14:textId="77777777" w:rsidR="00E57E18" w:rsidRPr="00E57E18" w:rsidRDefault="00E57E18" w:rsidP="00E57E18">
            <w:pPr>
              <w:spacing w:line="240" w:lineRule="auto"/>
              <w:ind w:hanging="23"/>
              <w:jc w:val="right"/>
              <w:rPr>
                <w:rFonts w:ascii="Calibri" w:eastAsia="Times New Roman" w:hAnsi="Calibri" w:cs="Calibri"/>
                <w:color w:val="000000"/>
                <w:sz w:val="16"/>
              </w:rPr>
            </w:pPr>
            <w:r w:rsidRPr="00E57E18">
              <w:rPr>
                <w:rFonts w:ascii="Calibri" w:eastAsia="Times New Roman" w:hAnsi="Calibri" w:cs="Calibri"/>
                <w:color w:val="000000"/>
                <w:sz w:val="16"/>
              </w:rPr>
              <w:t>1</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79E8325B"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5BE0B595"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56A2FDF4"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45F557E6"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7039FFB9"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7C144EFE"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322770F8"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2E2595F6"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72F6DD39"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0391D244"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0C3C263D" w14:textId="77777777" w:rsidR="00E57E18" w:rsidRPr="00E57E18" w:rsidRDefault="00E57E18" w:rsidP="00E57E18">
            <w:pPr>
              <w:spacing w:line="240" w:lineRule="auto"/>
              <w:ind w:firstLine="0"/>
              <w:rPr>
                <w:rFonts w:eastAsia="Times New Roman"/>
                <w:sz w:val="14"/>
                <w:szCs w:val="20"/>
              </w:rPr>
            </w:pPr>
          </w:p>
        </w:tc>
      </w:tr>
      <w:tr w:rsidR="00E57E18" w:rsidRPr="00E57E18" w14:paraId="28FCD389"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1056EC95"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9</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71BEDD14"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center</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42343703" w14:textId="77777777" w:rsidR="00E57E18" w:rsidRPr="00E57E18" w:rsidRDefault="00E57E18" w:rsidP="00E57E18">
            <w:pPr>
              <w:spacing w:line="240" w:lineRule="auto"/>
              <w:ind w:hanging="23"/>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682F338C"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75D96A4E"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30D03A7B"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3F605C2C"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6EBCD581"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5D57A7AE"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06C894C2"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57FF8215"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002E54E5"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0C7B92F0"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7BC0A813" w14:textId="77777777" w:rsidR="00E57E18" w:rsidRPr="00E57E18" w:rsidRDefault="00E57E18" w:rsidP="00E57E18">
            <w:pPr>
              <w:spacing w:line="240" w:lineRule="auto"/>
              <w:ind w:firstLine="0"/>
              <w:rPr>
                <w:rFonts w:eastAsia="Times New Roman"/>
                <w:sz w:val="14"/>
                <w:szCs w:val="20"/>
              </w:rPr>
            </w:pPr>
          </w:p>
        </w:tc>
      </w:tr>
      <w:tr w:rsidR="00E57E18" w:rsidRPr="00E57E18" w14:paraId="4B13F72A"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064BF608"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10</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2B2A3A6B"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center</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0E0FE67A" w14:textId="77777777" w:rsidR="00E57E18" w:rsidRPr="00E57E18" w:rsidRDefault="00E57E18" w:rsidP="00E57E18">
            <w:pPr>
              <w:spacing w:line="240" w:lineRule="auto"/>
              <w:ind w:hanging="23"/>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1309945D"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718D768B"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5B09ACA1"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1D307954"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67AB4103"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2FEA0474"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3FB9B35A"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52225C09"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0B31A508"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0A94DCA1"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0BE0D339" w14:textId="77777777" w:rsidR="00E57E18" w:rsidRPr="00E57E18" w:rsidRDefault="00E57E18" w:rsidP="00E57E18">
            <w:pPr>
              <w:spacing w:line="240" w:lineRule="auto"/>
              <w:ind w:firstLine="0"/>
              <w:rPr>
                <w:rFonts w:eastAsia="Times New Roman"/>
                <w:sz w:val="14"/>
                <w:szCs w:val="20"/>
              </w:rPr>
            </w:pPr>
          </w:p>
        </w:tc>
      </w:tr>
      <w:tr w:rsidR="00E57E18" w:rsidRPr="00E57E18" w14:paraId="3D71C005"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57FDEEB5"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11</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43BB7789"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center</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09E59E30" w14:textId="77777777" w:rsidR="00E57E18" w:rsidRPr="00E57E18" w:rsidRDefault="00E57E18" w:rsidP="00E57E18">
            <w:pPr>
              <w:spacing w:line="240" w:lineRule="auto"/>
              <w:ind w:hanging="23"/>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48F23BA1"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0FE65F11"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13D9BEE8"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237D98CF"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245BFE77"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783DD6B8"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77635996"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3970BC5D"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34F712C7"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059831B7"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3AB7EFA7" w14:textId="77777777" w:rsidR="00E57E18" w:rsidRPr="00E57E18" w:rsidRDefault="00E57E18" w:rsidP="00E57E18">
            <w:pPr>
              <w:spacing w:line="240" w:lineRule="auto"/>
              <w:ind w:firstLine="0"/>
              <w:rPr>
                <w:rFonts w:eastAsia="Times New Roman"/>
                <w:sz w:val="14"/>
                <w:szCs w:val="20"/>
              </w:rPr>
            </w:pPr>
          </w:p>
        </w:tc>
      </w:tr>
      <w:tr w:rsidR="00E57E18" w:rsidRPr="00E57E18" w14:paraId="74A876B7"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4FE05E4D"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12</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6D8E8BAF"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center</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10919F01" w14:textId="77777777" w:rsidR="00E57E18" w:rsidRPr="00E57E18" w:rsidRDefault="00E57E18" w:rsidP="00E57E18">
            <w:pPr>
              <w:spacing w:line="240" w:lineRule="auto"/>
              <w:ind w:hanging="23"/>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3D8DA887"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7E872199"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2120F3A1"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082F2382"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1371F8AA"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165D3B59"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11BA718B"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38A29B6B"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51311B02"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63E5EBF9"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069A9DE8" w14:textId="77777777" w:rsidR="00E57E18" w:rsidRPr="00E57E18" w:rsidRDefault="00E57E18" w:rsidP="00E57E18">
            <w:pPr>
              <w:spacing w:line="240" w:lineRule="auto"/>
              <w:ind w:firstLine="0"/>
              <w:rPr>
                <w:rFonts w:eastAsia="Times New Roman"/>
                <w:sz w:val="14"/>
                <w:szCs w:val="20"/>
              </w:rPr>
            </w:pPr>
          </w:p>
        </w:tc>
      </w:tr>
      <w:tr w:rsidR="00E57E18" w:rsidRPr="00E57E18" w14:paraId="52B665EF"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7DDF357A"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13</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771371D8" w14:textId="77777777" w:rsidR="00E57E18" w:rsidRPr="00E57E18" w:rsidRDefault="00E57E18" w:rsidP="00E57E18">
            <w:pPr>
              <w:spacing w:line="240" w:lineRule="auto"/>
              <w:ind w:firstLine="0"/>
              <w:rPr>
                <w:rFonts w:ascii="Calibri" w:eastAsia="Times New Roman" w:hAnsi="Calibri" w:cs="Calibri"/>
                <w:color w:val="000000"/>
                <w:sz w:val="16"/>
              </w:rPr>
            </w:pPr>
            <w:r w:rsidRPr="00E57E18">
              <w:rPr>
                <w:rFonts w:ascii="Calibri" w:eastAsia="Times New Roman" w:hAnsi="Calibri" w:cs="Calibri"/>
                <w:color w:val="000000"/>
                <w:sz w:val="16"/>
              </w:rPr>
              <w:t>center</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4003544B" w14:textId="77777777" w:rsidR="00E57E18" w:rsidRPr="00E57E18" w:rsidRDefault="00E57E18" w:rsidP="00E57E18">
            <w:pPr>
              <w:spacing w:line="240" w:lineRule="auto"/>
              <w:ind w:hanging="23"/>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5AC59F94"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6A87E4E7"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7A656095"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1E373F33"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48803FCC"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7B1C5EC1"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0A6C16AA"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6FAE37AB"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099A9901"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0AEC74D6"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2C4AF56F" w14:textId="77777777" w:rsidR="00E57E18" w:rsidRPr="00E57E18" w:rsidRDefault="00E57E18" w:rsidP="00E57E18">
            <w:pPr>
              <w:spacing w:line="240" w:lineRule="auto"/>
              <w:ind w:firstLine="0"/>
              <w:rPr>
                <w:rFonts w:eastAsia="Times New Roman"/>
                <w:sz w:val="14"/>
                <w:szCs w:val="20"/>
              </w:rPr>
            </w:pPr>
          </w:p>
        </w:tc>
      </w:tr>
      <w:tr w:rsidR="00E57E18" w:rsidRPr="00E57E18" w14:paraId="30439252"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3A716E05"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14</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2C969ABF" w14:textId="11528C9E" w:rsidR="00E57E18" w:rsidRPr="00E57E18" w:rsidRDefault="00F45C0F" w:rsidP="00E57E18">
            <w:pPr>
              <w:spacing w:line="240" w:lineRule="auto"/>
              <w:ind w:firstLine="0"/>
              <w:rPr>
                <w:rFonts w:ascii="Calibri" w:eastAsia="Times New Roman" w:hAnsi="Calibri" w:cs="Calibri"/>
                <w:color w:val="000000"/>
                <w:sz w:val="16"/>
              </w:rPr>
            </w:pPr>
            <w:r>
              <w:rPr>
                <w:rFonts w:ascii="Calibri" w:eastAsia="Times New Roman" w:hAnsi="Calibri" w:cs="Calibri"/>
                <w:color w:val="000000"/>
                <w:sz w:val="16"/>
              </w:rPr>
              <w:t>validation1</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28BB5E91" w14:textId="77777777" w:rsidR="00E57E18" w:rsidRPr="00E57E18" w:rsidRDefault="00E57E18" w:rsidP="00E57E18">
            <w:pPr>
              <w:spacing w:line="240" w:lineRule="auto"/>
              <w:ind w:hanging="23"/>
              <w:jc w:val="right"/>
              <w:rPr>
                <w:rFonts w:ascii="Calibri" w:eastAsia="Times New Roman" w:hAnsi="Calibri" w:cs="Calibri"/>
                <w:color w:val="000000"/>
                <w:sz w:val="16"/>
              </w:rPr>
            </w:pPr>
            <w:r w:rsidRPr="00E57E18">
              <w:rPr>
                <w:rFonts w:ascii="Calibri" w:eastAsia="Times New Roman" w:hAnsi="Calibri" w:cs="Calibri"/>
                <w:color w:val="000000"/>
                <w:sz w:val="16"/>
              </w:rPr>
              <w:t>0</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37279799" w14:textId="102979EF"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0</w:t>
            </w:r>
            <w:r w:rsidR="00F45C0F">
              <w:rPr>
                <w:rFonts w:ascii="Calibri" w:eastAsia="Times New Roman" w:hAnsi="Calibri" w:cs="Calibri"/>
                <w:color w:val="000000"/>
                <w:sz w:val="16"/>
              </w:rPr>
              <w:t>.5</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04EFA7E5"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7908B176"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5D8D01B0"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0586A6AA"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19B4868D"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3D9A8AF1"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6CD11079"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2B71D264"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48A1177A"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670E724B" w14:textId="77777777" w:rsidR="00E57E18" w:rsidRPr="00E57E18" w:rsidRDefault="00E57E18" w:rsidP="00E57E18">
            <w:pPr>
              <w:spacing w:line="240" w:lineRule="auto"/>
              <w:ind w:firstLine="0"/>
              <w:rPr>
                <w:rFonts w:eastAsia="Times New Roman"/>
                <w:sz w:val="14"/>
                <w:szCs w:val="20"/>
              </w:rPr>
            </w:pPr>
          </w:p>
        </w:tc>
      </w:tr>
      <w:tr w:rsidR="00E57E18" w:rsidRPr="00E57E18" w14:paraId="29C20687" w14:textId="77777777" w:rsidTr="00E57E18">
        <w:trPr>
          <w:trHeight w:val="300"/>
        </w:trPr>
        <w:tc>
          <w:tcPr>
            <w:tcW w:w="540" w:type="dxa"/>
            <w:tcBorders>
              <w:top w:val="single" w:sz="4" w:space="0" w:color="auto"/>
              <w:left w:val="single" w:sz="4" w:space="0" w:color="auto"/>
              <w:bottom w:val="single" w:sz="4" w:space="0" w:color="auto"/>
              <w:right w:val="single" w:sz="4" w:space="0" w:color="auto"/>
            </w:tcBorders>
            <w:noWrap/>
            <w:vAlign w:val="bottom"/>
            <w:hideMark/>
          </w:tcPr>
          <w:p w14:paraId="2B511CEC"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15</w:t>
            </w:r>
          </w:p>
        </w:tc>
        <w:tc>
          <w:tcPr>
            <w:tcW w:w="858" w:type="dxa"/>
            <w:tcBorders>
              <w:top w:val="single" w:sz="4" w:space="0" w:color="auto"/>
              <w:left w:val="single" w:sz="4" w:space="0" w:color="auto"/>
              <w:bottom w:val="single" w:sz="4" w:space="0" w:color="auto"/>
              <w:right w:val="single" w:sz="4" w:space="0" w:color="auto"/>
            </w:tcBorders>
            <w:noWrap/>
            <w:vAlign w:val="bottom"/>
            <w:hideMark/>
          </w:tcPr>
          <w:p w14:paraId="61CF4800" w14:textId="1F178215" w:rsidR="00E57E18" w:rsidRPr="00E57E18" w:rsidRDefault="00F45C0F" w:rsidP="00E57E18">
            <w:pPr>
              <w:spacing w:line="240" w:lineRule="auto"/>
              <w:ind w:firstLine="0"/>
              <w:rPr>
                <w:rFonts w:ascii="Calibri" w:eastAsia="Times New Roman" w:hAnsi="Calibri" w:cs="Calibri"/>
                <w:color w:val="000000"/>
                <w:sz w:val="16"/>
              </w:rPr>
            </w:pPr>
            <w:r>
              <w:rPr>
                <w:rFonts w:ascii="Calibri" w:eastAsia="Times New Roman" w:hAnsi="Calibri" w:cs="Calibri"/>
                <w:color w:val="000000"/>
                <w:sz w:val="16"/>
              </w:rPr>
              <w:t>v</w:t>
            </w:r>
            <w:r w:rsidR="00E57E18" w:rsidRPr="00E57E18">
              <w:rPr>
                <w:rFonts w:ascii="Calibri" w:eastAsia="Times New Roman" w:hAnsi="Calibri" w:cs="Calibri"/>
                <w:color w:val="000000"/>
                <w:sz w:val="16"/>
              </w:rPr>
              <w:t>alidation</w:t>
            </w:r>
            <w:r>
              <w:rPr>
                <w:rFonts w:ascii="Calibri" w:eastAsia="Times New Roman" w:hAnsi="Calibri" w:cs="Calibri"/>
                <w:color w:val="000000"/>
                <w:sz w:val="16"/>
              </w:rPr>
              <w:t>2</w:t>
            </w:r>
          </w:p>
        </w:tc>
        <w:tc>
          <w:tcPr>
            <w:tcW w:w="762" w:type="dxa"/>
            <w:tcBorders>
              <w:top w:val="single" w:sz="4" w:space="0" w:color="auto"/>
              <w:left w:val="single" w:sz="4" w:space="0" w:color="auto"/>
              <w:bottom w:val="single" w:sz="4" w:space="0" w:color="auto"/>
              <w:right w:val="single" w:sz="4" w:space="0" w:color="auto"/>
            </w:tcBorders>
            <w:noWrap/>
            <w:vAlign w:val="bottom"/>
            <w:hideMark/>
          </w:tcPr>
          <w:p w14:paraId="6809FFAA" w14:textId="74A283EB" w:rsidR="00B77F0C" w:rsidRPr="00E57E18" w:rsidRDefault="00B77F0C" w:rsidP="00B77F0C">
            <w:pPr>
              <w:spacing w:line="240" w:lineRule="auto"/>
              <w:ind w:hanging="23"/>
              <w:jc w:val="right"/>
              <w:rPr>
                <w:rFonts w:ascii="Calibri" w:eastAsia="Times New Roman" w:hAnsi="Calibri" w:cs="Calibri"/>
                <w:color w:val="000000"/>
                <w:sz w:val="16"/>
              </w:rPr>
            </w:pPr>
            <w:r>
              <w:rPr>
                <w:rFonts w:ascii="Calibri" w:eastAsia="Times New Roman" w:hAnsi="Calibri" w:cs="Calibri"/>
                <w:color w:val="000000"/>
                <w:sz w:val="16"/>
              </w:rPr>
              <w:t>0</w:t>
            </w:r>
          </w:p>
        </w:tc>
        <w:tc>
          <w:tcPr>
            <w:tcW w:w="720" w:type="dxa"/>
            <w:tcBorders>
              <w:top w:val="single" w:sz="4" w:space="0" w:color="auto"/>
              <w:left w:val="single" w:sz="4" w:space="0" w:color="auto"/>
              <w:bottom w:val="single" w:sz="4" w:space="0" w:color="auto"/>
              <w:right w:val="single" w:sz="4" w:space="0" w:color="auto"/>
            </w:tcBorders>
            <w:noWrap/>
            <w:vAlign w:val="bottom"/>
            <w:hideMark/>
          </w:tcPr>
          <w:p w14:paraId="62A20A87" w14:textId="77777777" w:rsidR="00E57E18" w:rsidRPr="00E57E18" w:rsidRDefault="00E57E18" w:rsidP="00E57E18">
            <w:pPr>
              <w:spacing w:line="240" w:lineRule="auto"/>
              <w:ind w:firstLine="0"/>
              <w:jc w:val="right"/>
              <w:rPr>
                <w:rFonts w:ascii="Calibri" w:eastAsia="Times New Roman" w:hAnsi="Calibri" w:cs="Calibri"/>
                <w:color w:val="000000"/>
                <w:sz w:val="16"/>
              </w:rPr>
            </w:pPr>
            <w:r w:rsidRPr="00E57E18">
              <w:rPr>
                <w:rFonts w:ascii="Calibri" w:eastAsia="Times New Roman" w:hAnsi="Calibri" w:cs="Calibri"/>
                <w:color w:val="000000"/>
                <w:sz w:val="16"/>
              </w:rPr>
              <w:t>0.5</w:t>
            </w:r>
          </w:p>
        </w:tc>
        <w:tc>
          <w:tcPr>
            <w:tcW w:w="1187" w:type="dxa"/>
            <w:tcBorders>
              <w:top w:val="single" w:sz="4" w:space="0" w:color="auto"/>
              <w:left w:val="single" w:sz="4" w:space="0" w:color="auto"/>
              <w:bottom w:val="single" w:sz="4" w:space="0" w:color="auto"/>
              <w:right w:val="single" w:sz="4" w:space="0" w:color="auto"/>
            </w:tcBorders>
            <w:noWrap/>
            <w:vAlign w:val="bottom"/>
            <w:hideMark/>
          </w:tcPr>
          <w:p w14:paraId="7D7ABADA" w14:textId="77777777" w:rsidR="00E57E18" w:rsidRPr="00E57E18" w:rsidRDefault="00E57E18" w:rsidP="00E57E18">
            <w:pPr>
              <w:spacing w:line="240" w:lineRule="auto"/>
              <w:ind w:firstLine="0"/>
              <w:jc w:val="right"/>
              <w:rPr>
                <w:rFonts w:ascii="Calibri" w:eastAsia="Times New Roman" w:hAnsi="Calibri" w:cs="Calibri"/>
                <w:color w:val="000000"/>
                <w:sz w:val="16"/>
              </w:rPr>
            </w:pP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685F26EB" w14:textId="77777777" w:rsidR="00E57E18" w:rsidRPr="00E57E18" w:rsidRDefault="00E57E18" w:rsidP="00E57E18">
            <w:pPr>
              <w:spacing w:line="240" w:lineRule="auto"/>
              <w:ind w:firstLine="0"/>
              <w:rPr>
                <w:rFonts w:eastAsia="Times New Roman"/>
                <w:sz w:val="14"/>
                <w:szCs w:val="20"/>
              </w:rPr>
            </w:pPr>
          </w:p>
        </w:tc>
        <w:tc>
          <w:tcPr>
            <w:tcW w:w="1592" w:type="dxa"/>
            <w:tcBorders>
              <w:top w:val="single" w:sz="4" w:space="0" w:color="auto"/>
              <w:left w:val="single" w:sz="4" w:space="0" w:color="auto"/>
              <w:bottom w:val="single" w:sz="4" w:space="0" w:color="auto"/>
              <w:right w:val="single" w:sz="4" w:space="0" w:color="auto"/>
            </w:tcBorders>
            <w:noWrap/>
            <w:vAlign w:val="bottom"/>
            <w:hideMark/>
          </w:tcPr>
          <w:p w14:paraId="2564EA9A" w14:textId="77777777" w:rsidR="00E57E18" w:rsidRPr="00E57E18" w:rsidRDefault="00E57E18" w:rsidP="00E57E18">
            <w:pPr>
              <w:spacing w:line="240" w:lineRule="auto"/>
              <w:ind w:firstLine="0"/>
              <w:rPr>
                <w:rFonts w:eastAsia="Times New Roman"/>
                <w:sz w:val="14"/>
                <w:szCs w:val="20"/>
              </w:rPr>
            </w:pP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2B88D8A2" w14:textId="77777777" w:rsidR="00E57E18" w:rsidRPr="00E57E18" w:rsidRDefault="00E57E18" w:rsidP="00E57E18">
            <w:pPr>
              <w:spacing w:line="240" w:lineRule="auto"/>
              <w:ind w:firstLine="0"/>
              <w:rPr>
                <w:rFonts w:eastAsia="Times New Roman"/>
                <w:sz w:val="14"/>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3BEB8BA7" w14:textId="77777777" w:rsidR="00E57E18" w:rsidRPr="00E57E18" w:rsidRDefault="00E57E18" w:rsidP="00E57E18">
            <w:pPr>
              <w:spacing w:line="240" w:lineRule="auto"/>
              <w:ind w:firstLine="0"/>
              <w:rPr>
                <w:rFonts w:eastAsia="Times New Roman"/>
                <w:sz w:val="14"/>
                <w:szCs w:val="20"/>
              </w:rPr>
            </w:pPr>
          </w:p>
        </w:tc>
        <w:tc>
          <w:tcPr>
            <w:tcW w:w="1025" w:type="dxa"/>
            <w:tcBorders>
              <w:top w:val="single" w:sz="4" w:space="0" w:color="auto"/>
              <w:left w:val="single" w:sz="4" w:space="0" w:color="auto"/>
              <w:bottom w:val="single" w:sz="4" w:space="0" w:color="auto"/>
              <w:right w:val="single" w:sz="4" w:space="0" w:color="auto"/>
            </w:tcBorders>
            <w:noWrap/>
            <w:vAlign w:val="bottom"/>
            <w:hideMark/>
          </w:tcPr>
          <w:p w14:paraId="56596679" w14:textId="77777777" w:rsidR="00E57E18" w:rsidRPr="00E57E18" w:rsidRDefault="00E57E18" w:rsidP="00E57E18">
            <w:pPr>
              <w:spacing w:line="240" w:lineRule="auto"/>
              <w:ind w:firstLine="0"/>
              <w:rPr>
                <w:rFonts w:eastAsia="Times New Roman"/>
                <w:sz w:val="14"/>
                <w:szCs w:val="20"/>
              </w:rPr>
            </w:pPr>
          </w:p>
        </w:tc>
        <w:tc>
          <w:tcPr>
            <w:tcW w:w="1167" w:type="dxa"/>
            <w:tcBorders>
              <w:top w:val="single" w:sz="4" w:space="0" w:color="auto"/>
              <w:left w:val="single" w:sz="4" w:space="0" w:color="auto"/>
              <w:bottom w:val="single" w:sz="4" w:space="0" w:color="auto"/>
              <w:right w:val="single" w:sz="4" w:space="0" w:color="auto"/>
            </w:tcBorders>
            <w:noWrap/>
            <w:vAlign w:val="bottom"/>
            <w:hideMark/>
          </w:tcPr>
          <w:p w14:paraId="3EBD23DF" w14:textId="77777777" w:rsidR="00E57E18" w:rsidRPr="00E57E18" w:rsidRDefault="00E57E18" w:rsidP="00E57E18">
            <w:pPr>
              <w:spacing w:line="240" w:lineRule="auto"/>
              <w:ind w:firstLine="0"/>
              <w:rPr>
                <w:rFonts w:eastAsia="Times New Roman"/>
                <w:sz w:val="14"/>
                <w:szCs w:val="20"/>
              </w:rPr>
            </w:pPr>
          </w:p>
        </w:tc>
        <w:tc>
          <w:tcPr>
            <w:tcW w:w="949" w:type="dxa"/>
            <w:tcBorders>
              <w:top w:val="single" w:sz="4" w:space="0" w:color="auto"/>
              <w:left w:val="single" w:sz="4" w:space="0" w:color="auto"/>
              <w:bottom w:val="single" w:sz="4" w:space="0" w:color="auto"/>
              <w:right w:val="single" w:sz="4" w:space="0" w:color="auto"/>
            </w:tcBorders>
            <w:noWrap/>
            <w:vAlign w:val="bottom"/>
            <w:hideMark/>
          </w:tcPr>
          <w:p w14:paraId="7915FBC6" w14:textId="77777777" w:rsidR="00E57E18" w:rsidRPr="00E57E18" w:rsidRDefault="00E57E18" w:rsidP="00E57E18">
            <w:pPr>
              <w:spacing w:line="240" w:lineRule="auto"/>
              <w:ind w:firstLine="0"/>
              <w:rPr>
                <w:rFonts w:eastAsia="Times New Roman"/>
                <w:sz w:val="14"/>
                <w:szCs w:val="20"/>
              </w:rPr>
            </w:pP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5B68CBFF" w14:textId="77777777" w:rsidR="00E57E18" w:rsidRPr="00E57E18" w:rsidRDefault="00E57E18" w:rsidP="00E57E18">
            <w:pPr>
              <w:spacing w:line="240" w:lineRule="auto"/>
              <w:ind w:firstLine="0"/>
              <w:rPr>
                <w:rFonts w:eastAsia="Times New Roman"/>
                <w:sz w:val="14"/>
                <w:szCs w:val="20"/>
              </w:rPr>
            </w:pPr>
          </w:p>
        </w:tc>
        <w:tc>
          <w:tcPr>
            <w:tcW w:w="978" w:type="dxa"/>
            <w:tcBorders>
              <w:top w:val="single" w:sz="4" w:space="0" w:color="auto"/>
              <w:left w:val="single" w:sz="4" w:space="0" w:color="auto"/>
              <w:bottom w:val="single" w:sz="4" w:space="0" w:color="auto"/>
              <w:right w:val="single" w:sz="4" w:space="0" w:color="auto"/>
            </w:tcBorders>
            <w:noWrap/>
            <w:vAlign w:val="bottom"/>
            <w:hideMark/>
          </w:tcPr>
          <w:p w14:paraId="5E66D338" w14:textId="77777777" w:rsidR="00E57E18" w:rsidRPr="00E57E18" w:rsidRDefault="00E57E18" w:rsidP="00E57E18">
            <w:pPr>
              <w:spacing w:line="240" w:lineRule="auto"/>
              <w:ind w:firstLine="0"/>
              <w:rPr>
                <w:rFonts w:eastAsia="Times New Roman"/>
                <w:sz w:val="14"/>
                <w:szCs w:val="20"/>
              </w:rPr>
            </w:pPr>
          </w:p>
        </w:tc>
      </w:tr>
    </w:tbl>
    <w:p w14:paraId="4A6B7A36" w14:textId="13AF00DC" w:rsidR="00B77F0C" w:rsidRDefault="00B77F0C" w:rsidP="00A81F15">
      <w:pPr>
        <w:spacing w:line="240" w:lineRule="auto"/>
        <w:rPr>
          <w:sz w:val="18"/>
        </w:rPr>
      </w:pPr>
      <w:r>
        <w:rPr>
          <w:noProof/>
        </w:rPr>
        <w:drawing>
          <wp:inline distT="0" distB="0" distL="0" distR="0" wp14:anchorId="3BC0AE3F" wp14:editId="63D22313">
            <wp:extent cx="4111142" cy="2245766"/>
            <wp:effectExtent l="0" t="0" r="3810" b="2540"/>
            <wp:docPr id="1" name="Chart 1">
              <a:extLst xmlns:a="http://schemas.openxmlformats.org/drawingml/2006/main">
                <a:ext uri="{FF2B5EF4-FFF2-40B4-BE49-F238E27FC236}">
                  <a16:creationId xmlns:a16="http://schemas.microsoft.com/office/drawing/2014/main" id="{01CF96CA-98DB-4DA9-9163-A8983133F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E8BD1C" w14:textId="037BE851" w:rsidR="00E57E18" w:rsidRPr="00B77F0C" w:rsidRDefault="00E57E18" w:rsidP="00F240AE">
      <w:pPr>
        <w:ind w:firstLine="0"/>
        <w:rPr>
          <w:sz w:val="18"/>
        </w:rPr>
        <w:sectPr w:rsidR="00E57E18" w:rsidRPr="00B77F0C" w:rsidSect="00E57E18">
          <w:pgSz w:w="15840" w:h="12240" w:orient="landscape"/>
          <w:pgMar w:top="1440" w:right="1440" w:bottom="1440" w:left="1440" w:header="720" w:footer="720" w:gutter="0"/>
          <w:cols w:space="720"/>
          <w:docGrid w:linePitch="360"/>
        </w:sectPr>
      </w:pPr>
    </w:p>
    <w:p w14:paraId="12CE2248" w14:textId="6B8BE206" w:rsidR="00A81F15" w:rsidRPr="00E57E18" w:rsidRDefault="00A81F15" w:rsidP="00A81F15">
      <w:pPr>
        <w:spacing w:line="240" w:lineRule="auto"/>
        <w:rPr>
          <w:szCs w:val="24"/>
        </w:rPr>
      </w:pPr>
      <w:r w:rsidRPr="00E57E18">
        <w:rPr>
          <w:szCs w:val="24"/>
        </w:rPr>
        <w:lastRenderedPageBreak/>
        <w:t xml:space="preserve">The control for this experiment will be </w:t>
      </w:r>
      <w:r w:rsidR="008B5B04">
        <w:rPr>
          <w:szCs w:val="24"/>
        </w:rPr>
        <w:t xml:space="preserve">an </w:t>
      </w:r>
      <w:r w:rsidRPr="00E57E18">
        <w:rPr>
          <w:szCs w:val="24"/>
        </w:rPr>
        <w:t>MFC</w:t>
      </w:r>
      <w:r w:rsidR="008B5B04">
        <w:rPr>
          <w:szCs w:val="24"/>
        </w:rPr>
        <w:t xml:space="preserve"> </w:t>
      </w:r>
      <w:r w:rsidRPr="00E57E18">
        <w:rPr>
          <w:szCs w:val="24"/>
        </w:rPr>
        <w:t xml:space="preserve">with autoclaved substrates and </w:t>
      </w:r>
      <w:proofErr w:type="spellStart"/>
      <w:r w:rsidRPr="00E57E18">
        <w:rPr>
          <w:szCs w:val="24"/>
        </w:rPr>
        <w:t>inocula</w:t>
      </w:r>
      <w:proofErr w:type="spellEnd"/>
      <w:r w:rsidRPr="00E57E18">
        <w:rPr>
          <w:szCs w:val="24"/>
        </w:rPr>
        <w:t xml:space="preserve"> to ensure that COD reduction and power production are purely through biological activity. Positive control is not relevant at this point except for troubleshooting.</w:t>
      </w:r>
    </w:p>
    <w:p w14:paraId="0905DF34" w14:textId="313FEA69" w:rsidR="00A81F15" w:rsidRPr="00E57E18" w:rsidRDefault="00A81F15" w:rsidP="00A81F15">
      <w:pPr>
        <w:spacing w:line="240" w:lineRule="auto"/>
        <w:rPr>
          <w:rFonts w:eastAsia="Times New Roman"/>
          <w:szCs w:val="24"/>
        </w:rPr>
      </w:pPr>
      <w:r w:rsidRPr="00E57E18">
        <w:rPr>
          <w:szCs w:val="24"/>
        </w:rPr>
        <w:t xml:space="preserve">MFCs will be operated in batch mode. Acetate will be added to digestate at molar concentrations previously specified during feedstock addition. Power density responses </w:t>
      </w:r>
      <w:r w:rsidR="000E13A5" w:rsidRPr="00E57E18">
        <w:rPr>
          <w:szCs w:val="24"/>
        </w:rPr>
        <w:t xml:space="preserve">at peak voltage </w:t>
      </w:r>
      <w:r w:rsidR="00E57E18">
        <w:rPr>
          <w:szCs w:val="24"/>
        </w:rPr>
        <w:t xml:space="preserve">after each feeding cycle </w:t>
      </w:r>
      <w:r w:rsidRPr="00E57E18">
        <w:rPr>
          <w:szCs w:val="24"/>
        </w:rPr>
        <w:t xml:space="preserve">will be measured with </w:t>
      </w:r>
      <w:r w:rsidRPr="00E57E18">
        <w:rPr>
          <w:rFonts w:eastAsia="Times New Roman"/>
          <w:szCs w:val="24"/>
        </w:rPr>
        <w:t xml:space="preserve">the Hach Colorimetry COD (Chemical Oxygen Demand) Assay and </w:t>
      </w:r>
      <w:proofErr w:type="spellStart"/>
      <w:r w:rsidRPr="00E57E18">
        <w:rPr>
          <w:rFonts w:eastAsia="Times New Roman"/>
          <w:szCs w:val="24"/>
        </w:rPr>
        <w:t>PicoLogger</w:t>
      </w:r>
      <w:proofErr w:type="spellEnd"/>
      <w:r w:rsidRPr="00E57E18">
        <w:rPr>
          <w:rFonts w:eastAsia="Times New Roman"/>
          <w:szCs w:val="24"/>
        </w:rPr>
        <w:t xml:space="preserve"> hardware</w:t>
      </w:r>
      <w:r w:rsidRPr="00E57E18">
        <w:rPr>
          <w:szCs w:val="24"/>
        </w:rPr>
        <w:t xml:space="preserve"> to determine total energy output, </w:t>
      </w:r>
      <w:r w:rsidRPr="00E57E18">
        <w:rPr>
          <w:rFonts w:eastAsia="Times New Roman"/>
          <w:szCs w:val="24"/>
        </w:rPr>
        <w:t xml:space="preserve">chemical oxygen demand (COD) reduction, and maximum power density (W/m^2). </w:t>
      </w:r>
    </w:p>
    <w:p w14:paraId="41508676" w14:textId="614A53B7" w:rsidR="00A81F15" w:rsidRPr="00E57E18" w:rsidRDefault="00A81F15" w:rsidP="00A81F15">
      <w:pPr>
        <w:shd w:val="clear" w:color="auto" w:fill="FFFFFF"/>
        <w:spacing w:line="240" w:lineRule="auto"/>
        <w:rPr>
          <w:rFonts w:eastAsia="Times New Roman"/>
          <w:color w:val="222222"/>
          <w:szCs w:val="24"/>
        </w:rPr>
      </w:pPr>
      <w:r w:rsidRPr="00E57E18">
        <w:rPr>
          <w:szCs w:val="24"/>
        </w:rPr>
        <w:t>MFCs will be sacrificed after stable power generation</w:t>
      </w:r>
      <w:r w:rsidR="00E57E18">
        <w:rPr>
          <w:szCs w:val="24"/>
        </w:rPr>
        <w:t xml:space="preserve"> for 3 cycles</w:t>
      </w:r>
      <w:r w:rsidRPr="00E57E18">
        <w:rPr>
          <w:szCs w:val="24"/>
        </w:rPr>
        <w:t xml:space="preserve"> is reached</w:t>
      </w:r>
      <w:r w:rsidR="00E57E18">
        <w:rPr>
          <w:szCs w:val="24"/>
        </w:rPr>
        <w:t xml:space="preserve"> on all units. At that </w:t>
      </w:r>
      <w:proofErr w:type="gramStart"/>
      <w:r w:rsidR="00E57E18">
        <w:rPr>
          <w:szCs w:val="24"/>
        </w:rPr>
        <w:t>time</w:t>
      </w:r>
      <w:proofErr w:type="gramEnd"/>
      <w:r w:rsidR="00E57E18">
        <w:rPr>
          <w:szCs w:val="24"/>
        </w:rPr>
        <w:t xml:space="preserve"> all units will be sacrificed</w:t>
      </w:r>
      <w:r w:rsidRPr="00E57E18">
        <w:rPr>
          <w:szCs w:val="24"/>
        </w:rPr>
        <w:t xml:space="preserve">. </w:t>
      </w:r>
      <w:proofErr w:type="spellStart"/>
      <w:r w:rsidRPr="00E57E18">
        <w:rPr>
          <w:szCs w:val="24"/>
        </w:rPr>
        <w:t>Powersoil</w:t>
      </w:r>
      <w:proofErr w:type="spellEnd"/>
      <w:r w:rsidRPr="00E57E18">
        <w:rPr>
          <w:szCs w:val="24"/>
        </w:rPr>
        <w:t xml:space="preserve"> DNA Extraction is a kit that extracts the DNA from the environmental sample. Additionally, I will take </w:t>
      </w:r>
      <w:r w:rsidR="00F240AE">
        <w:rPr>
          <w:szCs w:val="24"/>
        </w:rPr>
        <w:t>fluorescence microscopy</w:t>
      </w:r>
      <w:r w:rsidRPr="00E57E18">
        <w:rPr>
          <w:szCs w:val="24"/>
        </w:rPr>
        <w:t xml:space="preserve"> micrographs of carbon cloth anode samples for the MFCs to measure biofilm thickness. Dyes used are </w:t>
      </w:r>
      <w:proofErr w:type="spellStart"/>
      <w:r w:rsidRPr="00E57E18">
        <w:rPr>
          <w:szCs w:val="24"/>
        </w:rPr>
        <w:t>propidium</w:t>
      </w:r>
      <w:proofErr w:type="spellEnd"/>
      <w:r w:rsidRPr="00E57E18">
        <w:rPr>
          <w:szCs w:val="24"/>
        </w:rPr>
        <w:t xml:space="preserve"> iodide (red) for stain</w:t>
      </w:r>
      <w:r w:rsidR="000E13A5" w:rsidRPr="00E57E18">
        <w:rPr>
          <w:szCs w:val="24"/>
        </w:rPr>
        <w:t>ing ruptured membranes and SYBR Green I</w:t>
      </w:r>
      <w:r w:rsidRPr="00E57E18">
        <w:rPr>
          <w:szCs w:val="24"/>
        </w:rPr>
        <w:t xml:space="preserve"> (green) for intact membranes.</w:t>
      </w:r>
      <w:r w:rsidR="000E13A5" w:rsidRPr="00E57E18">
        <w:rPr>
          <w:szCs w:val="24"/>
        </w:rPr>
        <w:t xml:space="preserve"> Calcofluor wi</w:t>
      </w:r>
      <w:r w:rsidR="00E57E18">
        <w:rPr>
          <w:szCs w:val="24"/>
        </w:rPr>
        <w:t>ll be used to stain the biofilm exopolysaccharide layer</w:t>
      </w:r>
      <w:r w:rsidR="000E13A5" w:rsidRPr="00E57E18">
        <w:rPr>
          <w:szCs w:val="24"/>
        </w:rPr>
        <w:t>.</w:t>
      </w:r>
      <w:r w:rsidR="000E13A5" w:rsidRPr="00E57E18">
        <w:rPr>
          <w:szCs w:val="24"/>
        </w:rPr>
        <w:br/>
      </w:r>
    </w:p>
    <w:p w14:paraId="5C0A5E5D" w14:textId="152111BC" w:rsidR="00E57E18" w:rsidRDefault="00E57E18" w:rsidP="00F240AE">
      <w:pPr>
        <w:pStyle w:val="Heading3"/>
        <w:numPr>
          <w:ilvl w:val="1"/>
          <w:numId w:val="1"/>
        </w:numPr>
        <w:ind w:left="0" w:firstLine="0"/>
      </w:pPr>
      <w:r>
        <w:t>MFC Power Metric Measurement</w:t>
      </w:r>
      <w:r w:rsidR="00F240AE">
        <w:br/>
      </w:r>
      <w:r>
        <w:br/>
      </w:r>
      <w:r w:rsidR="00F240AE">
        <w:rPr>
          <w:i w:val="0"/>
        </w:rPr>
        <w:t>Power metrics including power density, COD reduction, and coulombic efficiency will be measured for each cycle. Power density will be measured at maximum voltage after refeeding after units have displayed consistent voltage measurements for three cycles. COD reduction will be measured by Hach Colorimetry both at the beginning of the cycle and at the end of the cycle. COD at the beginning of the cycle will be measured with stock solution COD and the ending COD of the last cycle in the MFC. COD will be calculated at the end of the cycle with Hach Colorimetry. Coulombic efficiency will be calculated using standard equations and COD reduction measurements.</w:t>
      </w:r>
    </w:p>
    <w:p w14:paraId="65E8CA03" w14:textId="73DE13CF" w:rsidR="00E57E18" w:rsidRPr="00E57E18" w:rsidRDefault="00E57E18" w:rsidP="00E57E18">
      <w:r>
        <w:br/>
      </w:r>
    </w:p>
    <w:p w14:paraId="014020AB" w14:textId="6A130E1B" w:rsidR="00E57E18" w:rsidRDefault="000E13A5" w:rsidP="00915FC4">
      <w:pPr>
        <w:pStyle w:val="Heading3"/>
        <w:numPr>
          <w:ilvl w:val="1"/>
          <w:numId w:val="1"/>
        </w:numPr>
      </w:pPr>
      <w:r w:rsidRPr="00E57E18">
        <w:t>DNA Extraction</w:t>
      </w:r>
      <w:r w:rsidR="00E57E18">
        <w:t xml:space="preserve"> and Microbial Ecology Measurement</w:t>
      </w:r>
    </w:p>
    <w:p w14:paraId="020423CD" w14:textId="77777777" w:rsidR="00E57E18" w:rsidRDefault="00E57E18" w:rsidP="00E57E18"/>
    <w:p w14:paraId="1D2171CA" w14:textId="44C0A296" w:rsidR="00901E03" w:rsidRDefault="00F240AE" w:rsidP="00E57E18">
      <w:r>
        <w:t xml:space="preserve">DNA extraction will be performed </w:t>
      </w:r>
      <w:r w:rsidR="00901E03">
        <w:t xml:space="preserve">after power density measurements have been performed for all units. At that </w:t>
      </w:r>
      <w:proofErr w:type="gramStart"/>
      <w:r w:rsidR="00901E03">
        <w:t>time</w:t>
      </w:r>
      <w:proofErr w:type="gramEnd"/>
      <w:r w:rsidR="00901E03">
        <w:t xml:space="preserve"> all units will be sacrificed. Three different materials will be sampled in each MFC – the carbon anode, the bulk liquid, and the air cathode. This will give sufficient DNA to determine community differences across all treatments. Bulk liquid will be sampled using the standard method of using 250 </w:t>
      </w:r>
      <w:proofErr w:type="spellStart"/>
      <w:r w:rsidR="00901E03">
        <w:t>ul</w:t>
      </w:r>
      <w:proofErr w:type="spellEnd"/>
      <w:r w:rsidR="00901E03">
        <w:t xml:space="preserve"> of liquid for DNA extraction. </w:t>
      </w:r>
      <w:r>
        <w:t xml:space="preserve"> </w:t>
      </w:r>
      <w:r w:rsidR="00901E03">
        <w:t xml:space="preserve">The carbon anode will be cut in half vertically, cutting from top to bottom, as will the air cathode. Half of each of these materials will be used for DNA sampling and half will be used for fluorescence microscopy. Both the </w:t>
      </w:r>
      <w:r w:rsidR="006C4A34">
        <w:t xml:space="preserve">carbon anode and air cathode will be </w:t>
      </w:r>
      <w:r w:rsidR="008B5B04">
        <w:t xml:space="preserve">cut and inserted into </w:t>
      </w:r>
      <w:proofErr w:type="spellStart"/>
      <w:r w:rsidR="008B5B04">
        <w:t>powerbead</w:t>
      </w:r>
      <w:proofErr w:type="spellEnd"/>
      <w:r w:rsidR="008B5B04">
        <w:t xml:space="preserve"> tubes</w:t>
      </w:r>
      <w:r w:rsidR="006C4A34">
        <w:t xml:space="preserve"> extract biofilm, then this biofilm will be added to the </w:t>
      </w:r>
      <w:proofErr w:type="spellStart"/>
      <w:r w:rsidR="006C4A34">
        <w:t>Powersoil</w:t>
      </w:r>
      <w:proofErr w:type="spellEnd"/>
      <w:r w:rsidR="006C4A34">
        <w:t xml:space="preserve"> DNA extraction kit for extraction.</w:t>
      </w:r>
    </w:p>
    <w:p w14:paraId="657ADB00" w14:textId="48605BE9" w:rsidR="006C4A34" w:rsidRDefault="006C4A34" w:rsidP="00E57E18">
      <w:r>
        <w:t xml:space="preserve">All samples will undergo quality control with Qubit, </w:t>
      </w:r>
      <w:proofErr w:type="spellStart"/>
      <w:r>
        <w:t>Biospec</w:t>
      </w:r>
      <w:proofErr w:type="spellEnd"/>
      <w:r>
        <w:t>, PCR, and E-gel measurements recorded.</w:t>
      </w:r>
    </w:p>
    <w:p w14:paraId="2C54401B" w14:textId="242F2BA9" w:rsidR="006C4A34" w:rsidRDefault="006C4A34" w:rsidP="00E57E18">
      <w:r>
        <w:t xml:space="preserve">Samples </w:t>
      </w:r>
      <w:r w:rsidR="00C832BB">
        <w:t>(14x3=</w:t>
      </w:r>
      <w:r w:rsidR="00C74891">
        <w:t xml:space="preserve">42) </w:t>
      </w:r>
      <w:r>
        <w:t>will be sent to RTL Genomics for characterization.</w:t>
      </w:r>
    </w:p>
    <w:p w14:paraId="3BDDBCD9" w14:textId="77777777" w:rsidR="00901E03" w:rsidRDefault="00901E03" w:rsidP="00E57E18"/>
    <w:p w14:paraId="49433C07" w14:textId="4900BC71" w:rsidR="00A81F15" w:rsidRPr="00E57E18" w:rsidRDefault="00A81F15" w:rsidP="006C4A34">
      <w:pPr>
        <w:ind w:firstLine="0"/>
        <w:rPr>
          <w:szCs w:val="24"/>
        </w:rPr>
      </w:pPr>
    </w:p>
    <w:p w14:paraId="4493F388" w14:textId="6A192177" w:rsidR="00A81F15" w:rsidRPr="00E57E18" w:rsidRDefault="00A81F15" w:rsidP="00A81F15">
      <w:pPr>
        <w:pStyle w:val="Heading3"/>
      </w:pPr>
      <w:bookmarkStart w:id="6" w:name="_Toc452144167"/>
      <w:r w:rsidRPr="00E57E18">
        <w:lastRenderedPageBreak/>
        <w:t>1</w:t>
      </w:r>
      <w:bookmarkEnd w:id="6"/>
      <w:r w:rsidR="00EA0FB2">
        <w:t xml:space="preserve">.5 </w:t>
      </w:r>
      <w:r w:rsidR="00E57E18">
        <w:t>Biofilm Measurement</w:t>
      </w:r>
    </w:p>
    <w:p w14:paraId="7AF286AA" w14:textId="0092BB74" w:rsidR="00DC4079" w:rsidRDefault="00C74891" w:rsidP="00C74891">
      <w:r w:rsidRPr="00C74891">
        <w:t>The other</w:t>
      </w:r>
      <w:r>
        <w:t xml:space="preserve"> half of the carbon anode that was cut in half will be stained with calcofluor, </w:t>
      </w:r>
      <w:proofErr w:type="spellStart"/>
      <w:r>
        <w:t>propidium</w:t>
      </w:r>
      <w:proofErr w:type="spellEnd"/>
      <w:r>
        <w:t xml:space="preserve"> iodide, and SYBR Green I immediately after sacrifice. They will then be imaged with a fluorescent microscope. 14 carbon anodes will thus be imaged. For each carbon anode, they will undergo random imaging at 10 points for z stacks, resulting in 10 z stacks x 14 anodes = 140 images for analysis. </w:t>
      </w:r>
      <w:r w:rsidR="008B5B04">
        <w:t>Air cathodes will be stained, saved, and frozen for future potential analysis.</w:t>
      </w:r>
      <w:r w:rsidR="008B5B04" w:rsidRPr="00C74891">
        <w:t xml:space="preserve"> </w:t>
      </w:r>
      <w:r w:rsidR="00915FC4" w:rsidRPr="00C74891">
        <w:br/>
      </w:r>
      <w:r w:rsidR="00915FC4">
        <w:br/>
        <w:t>TIMELINE</w:t>
      </w:r>
    </w:p>
    <w:p w14:paraId="427EFD05" w14:textId="71481361" w:rsidR="00F240AE" w:rsidRPr="00591A2B" w:rsidRDefault="00F240AE" w:rsidP="00C74891">
      <w:pPr>
        <w:rPr>
          <w:b/>
          <w:u w:val="single"/>
        </w:rPr>
      </w:pPr>
      <w:r w:rsidRPr="00591A2B">
        <w:rPr>
          <w:b/>
          <w:u w:val="single"/>
        </w:rPr>
        <w:t xml:space="preserve">Set up </w:t>
      </w:r>
    </w:p>
    <w:p w14:paraId="751C60A1" w14:textId="77B02568" w:rsidR="00F240AE" w:rsidRDefault="00C74891" w:rsidP="00591A2B">
      <w:pPr>
        <w:ind w:firstLine="360"/>
      </w:pPr>
      <w:r>
        <w:tab/>
        <w:t>15 MFCs will be constructed</w:t>
      </w:r>
    </w:p>
    <w:p w14:paraId="3B980E07" w14:textId="0E7D8A6A" w:rsidR="00C74891" w:rsidRDefault="00C74891" w:rsidP="00591A2B">
      <w:pPr>
        <w:ind w:firstLine="360"/>
      </w:pPr>
      <w:r>
        <w:tab/>
        <w:t>14 will be filled with centrifuged sludge (14,100 rpm for 1 minute)</w:t>
      </w:r>
    </w:p>
    <w:p w14:paraId="0133B896" w14:textId="58420AD3" w:rsidR="00C74891" w:rsidRDefault="00C74891" w:rsidP="00591A2B">
      <w:pPr>
        <w:ind w:firstLine="360"/>
      </w:pPr>
      <w:r>
        <w:tab/>
        <w:t>1 wil</w:t>
      </w:r>
      <w:bookmarkStart w:id="7" w:name="_GoBack"/>
      <w:bookmarkEnd w:id="7"/>
      <w:r>
        <w:t>l be filled with similarly centrifuged sludge then autoclaved</w:t>
      </w:r>
    </w:p>
    <w:p w14:paraId="0B6C0057" w14:textId="78A62308" w:rsidR="00F240AE" w:rsidRDefault="00F240AE" w:rsidP="00591A2B">
      <w:pPr>
        <w:ind w:firstLine="360"/>
      </w:pPr>
      <w:r>
        <w:tab/>
        <w:t>Acetate addition</w:t>
      </w:r>
    </w:p>
    <w:p w14:paraId="189AD6B4" w14:textId="39879FBF" w:rsidR="00C74891" w:rsidRDefault="00C74891" w:rsidP="00591A2B">
      <w:pPr>
        <w:ind w:firstLine="360"/>
      </w:pPr>
      <w:r>
        <w:tab/>
      </w:r>
      <w:r>
        <w:tab/>
        <w:t xml:space="preserve">Three units will have no acetate addition (coded -1). Units coded 0 will have 20 </w:t>
      </w:r>
      <w:proofErr w:type="spellStart"/>
      <w:r>
        <w:t>mM</w:t>
      </w:r>
      <w:proofErr w:type="spellEnd"/>
      <w:r>
        <w:t xml:space="preserve"> acetate addition, </w:t>
      </w:r>
      <w:r w:rsidR="00591A2B">
        <w:t xml:space="preserve">and units coded +1 will have 40 </w:t>
      </w:r>
      <w:proofErr w:type="spellStart"/>
      <w:r w:rsidR="00591A2B">
        <w:t>mM</w:t>
      </w:r>
      <w:proofErr w:type="spellEnd"/>
      <w:r w:rsidR="00591A2B">
        <w:t xml:space="preserve"> acetate addition. Quantity of acetate added will be calculated as (20 </w:t>
      </w:r>
      <w:proofErr w:type="spellStart"/>
      <w:r w:rsidR="00591A2B">
        <w:t>mmol</w:t>
      </w:r>
      <w:proofErr w:type="spellEnd"/>
      <w:r w:rsidR="00591A2B">
        <w:t xml:space="preserve">/Liter) x (volume of each reactor in liters). Quantity for 40 </w:t>
      </w:r>
      <w:proofErr w:type="spellStart"/>
      <w:r w:rsidR="00591A2B">
        <w:t>mM</w:t>
      </w:r>
      <w:proofErr w:type="spellEnd"/>
      <w:r w:rsidR="00591A2B">
        <w:t xml:space="preserve"> will be similarly calculated.</w:t>
      </w:r>
    </w:p>
    <w:p w14:paraId="62F4F24D" w14:textId="334DB083" w:rsidR="00591A2B" w:rsidRDefault="00591A2B" w:rsidP="00591A2B">
      <w:pPr>
        <w:ind w:firstLine="360"/>
      </w:pPr>
      <w:r>
        <w:tab/>
      </w:r>
      <w:r w:rsidRPr="00591A2B">
        <w:rPr>
          <w:highlight w:val="yellow"/>
        </w:rPr>
        <w:t>Keep COD same between all treatments?</w:t>
      </w:r>
    </w:p>
    <w:p w14:paraId="184E6CB4" w14:textId="23083A21" w:rsidR="00F240AE" w:rsidRDefault="00F240AE" w:rsidP="00591A2B">
      <w:pPr>
        <w:ind w:firstLine="360"/>
      </w:pPr>
      <w:r>
        <w:tab/>
        <w:t>Three different incubators</w:t>
      </w:r>
      <w:r w:rsidR="00591A2B">
        <w:t xml:space="preserve"> will be used to maintain the MFCs at 30C, 42.5C, and 55C. Units coded at -1 will be kept at 30C, units coded at 42.5C will be coded at 0, and units kept at 55C are coded at +1.</w:t>
      </w:r>
    </w:p>
    <w:p w14:paraId="0DAAD25E" w14:textId="6E3BE083" w:rsidR="00591A2B" w:rsidRDefault="00591A2B" w:rsidP="00591A2B">
      <w:pPr>
        <w:ind w:firstLine="360"/>
      </w:pPr>
      <w:r>
        <w:tab/>
        <w:t xml:space="preserve">All units will be connected to a </w:t>
      </w:r>
      <w:r w:rsidRPr="00591A2B">
        <w:rPr>
          <w:highlight w:val="yellow"/>
        </w:rPr>
        <w:t xml:space="preserve">1 </w:t>
      </w:r>
      <w:proofErr w:type="spellStart"/>
      <w:r w:rsidRPr="00591A2B">
        <w:rPr>
          <w:highlight w:val="yellow"/>
        </w:rPr>
        <w:t>kOhm</w:t>
      </w:r>
      <w:proofErr w:type="spellEnd"/>
      <w:r w:rsidRPr="00591A2B">
        <w:rPr>
          <w:highlight w:val="yellow"/>
        </w:rPr>
        <w:t xml:space="preserve"> external resistor</w:t>
      </w:r>
      <w:r>
        <w:t xml:space="preserve">? and connected to the </w:t>
      </w:r>
      <w:proofErr w:type="spellStart"/>
      <w:r>
        <w:t>PicoLogger</w:t>
      </w:r>
      <w:proofErr w:type="spellEnd"/>
      <w:r>
        <w:t xml:space="preserve"> for voltage measurement.</w:t>
      </w:r>
    </w:p>
    <w:p w14:paraId="00087F96" w14:textId="77777777" w:rsidR="00F240AE" w:rsidRDefault="00F240AE" w:rsidP="00C74891"/>
    <w:p w14:paraId="7D71FBBD" w14:textId="30FD3951" w:rsidR="00F240AE" w:rsidRPr="00591A2B" w:rsidRDefault="00F240AE" w:rsidP="00C74891">
      <w:pPr>
        <w:rPr>
          <w:b/>
          <w:u w:val="single"/>
        </w:rPr>
      </w:pPr>
      <w:r w:rsidRPr="00591A2B">
        <w:rPr>
          <w:b/>
          <w:u w:val="single"/>
        </w:rPr>
        <w:t xml:space="preserve">Maintenance </w:t>
      </w:r>
    </w:p>
    <w:p w14:paraId="7AD3DAFB" w14:textId="05A286A5" w:rsidR="00591A2B" w:rsidRDefault="00F240AE" w:rsidP="00591A2B">
      <w:pPr>
        <w:ind w:firstLine="0"/>
      </w:pPr>
      <w:r>
        <w:tab/>
      </w:r>
      <w:r w:rsidR="00591A2B">
        <w:t>Each day units will be checked for liquid levels and topped off with DI water if there is significant liquid loss</w:t>
      </w:r>
      <w:r w:rsidR="004927B8">
        <w:t>.</w:t>
      </w:r>
    </w:p>
    <w:p w14:paraId="76FFF5CA" w14:textId="77777777" w:rsidR="00591A2B" w:rsidRDefault="00591A2B" w:rsidP="00591A2B">
      <w:pPr>
        <w:ind w:left="720" w:firstLine="0"/>
      </w:pPr>
      <w:r>
        <w:t xml:space="preserve">Each day </w:t>
      </w:r>
      <w:proofErr w:type="spellStart"/>
      <w:r>
        <w:t>Picologger</w:t>
      </w:r>
      <w:proofErr w:type="spellEnd"/>
      <w:r>
        <w:t xml:space="preserve"> will be checked for bugging out</w:t>
      </w:r>
    </w:p>
    <w:p w14:paraId="5DF95F3A" w14:textId="1CFEC3A3" w:rsidR="00F240AE" w:rsidRDefault="00F240AE" w:rsidP="00591A2B">
      <w:pPr>
        <w:ind w:firstLine="0"/>
      </w:pPr>
      <w:r>
        <w:tab/>
      </w:r>
      <w:r w:rsidR="00591A2B">
        <w:t xml:space="preserve">When units drop below 10 mV, units will be refed with centrifuged sludge and the corresponding acetate concentration. </w:t>
      </w:r>
      <w:r>
        <w:t>COD measurement</w:t>
      </w:r>
      <w:r w:rsidR="00591A2B">
        <w:t xml:space="preserve"> will be performed for the beginning and end of each cycle as previously stated.</w:t>
      </w:r>
    </w:p>
    <w:p w14:paraId="74A40759" w14:textId="524C4FA5" w:rsidR="00591A2B" w:rsidRDefault="00591A2B" w:rsidP="00591A2B">
      <w:pPr>
        <w:ind w:firstLine="0"/>
      </w:pPr>
      <w:r>
        <w:tab/>
        <w:t>Power density measurements will be performed for each unit after three successive cycles of consistent voltage production.</w:t>
      </w:r>
    </w:p>
    <w:p w14:paraId="7A7F0C30" w14:textId="77037A28" w:rsidR="00F240AE" w:rsidRDefault="00F240AE" w:rsidP="00C74891">
      <w:r>
        <w:tab/>
      </w:r>
    </w:p>
    <w:p w14:paraId="6F258B0E" w14:textId="1EBFC842" w:rsidR="00F240AE" w:rsidRDefault="00F240AE" w:rsidP="00C74891">
      <w:pPr>
        <w:rPr>
          <w:b/>
          <w:u w:val="single"/>
        </w:rPr>
      </w:pPr>
      <w:r w:rsidRPr="00591A2B">
        <w:rPr>
          <w:b/>
          <w:u w:val="single"/>
        </w:rPr>
        <w:t>Takedown</w:t>
      </w:r>
    </w:p>
    <w:p w14:paraId="3E723D48" w14:textId="25510E68" w:rsidR="00591A2B" w:rsidRDefault="00591A2B" w:rsidP="00C74891">
      <w:r>
        <w:t xml:space="preserve">After power density measurements have been performed for all units after their three successive cycles of consistent voltage production, all units will be sacrificed at once to control for time of biofilm growth. At this </w:t>
      </w:r>
      <w:proofErr w:type="gramStart"/>
      <w:r>
        <w:t>time</w:t>
      </w:r>
      <w:proofErr w:type="gramEnd"/>
      <w:r>
        <w:t xml:space="preserve"> each unit will be sampled for DNA and undergo fluor</w:t>
      </w:r>
      <w:r w:rsidR="00EA0FB2">
        <w:t>escence microscopy as previously specified in section 1.4 and 1.5.</w:t>
      </w:r>
    </w:p>
    <w:p w14:paraId="31A26FAB" w14:textId="78BDFEA0" w:rsidR="00EA0FB2" w:rsidRPr="00591A2B" w:rsidRDefault="00EA0FB2" w:rsidP="00C74891">
      <w:r>
        <w:t>Data will be analyzed according to the Qualifying Exam document.</w:t>
      </w:r>
    </w:p>
    <w:p w14:paraId="490C2B03" w14:textId="6D55920A" w:rsidR="00F240AE" w:rsidRPr="00E57E18" w:rsidRDefault="00F240AE" w:rsidP="00F240AE">
      <w:pPr>
        <w:ind w:firstLine="0"/>
        <w:rPr>
          <w:sz w:val="18"/>
        </w:rPr>
      </w:pPr>
    </w:p>
    <w:sectPr w:rsidR="00F240AE" w:rsidRPr="00E57E18" w:rsidSect="00E5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27E17"/>
    <w:multiLevelType w:val="multilevel"/>
    <w:tmpl w:val="1234B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15"/>
    <w:rsid w:val="00006CDD"/>
    <w:rsid w:val="00013CAC"/>
    <w:rsid w:val="00016829"/>
    <w:rsid w:val="00022FB3"/>
    <w:rsid w:val="00027552"/>
    <w:rsid w:val="00040B82"/>
    <w:rsid w:val="000449F4"/>
    <w:rsid w:val="0007128A"/>
    <w:rsid w:val="00071A28"/>
    <w:rsid w:val="000735AB"/>
    <w:rsid w:val="000779C3"/>
    <w:rsid w:val="000A32FA"/>
    <w:rsid w:val="000C0600"/>
    <w:rsid w:val="000E13A5"/>
    <w:rsid w:val="001014BA"/>
    <w:rsid w:val="00130F7E"/>
    <w:rsid w:val="00151F08"/>
    <w:rsid w:val="00187746"/>
    <w:rsid w:val="001B2094"/>
    <w:rsid w:val="001B7350"/>
    <w:rsid w:val="001C39C8"/>
    <w:rsid w:val="001D1FD1"/>
    <w:rsid w:val="0025166A"/>
    <w:rsid w:val="00273BF1"/>
    <w:rsid w:val="002762D9"/>
    <w:rsid w:val="002D5CB3"/>
    <w:rsid w:val="002E1403"/>
    <w:rsid w:val="00306A19"/>
    <w:rsid w:val="00350528"/>
    <w:rsid w:val="003A05EA"/>
    <w:rsid w:val="003A1116"/>
    <w:rsid w:val="003E159D"/>
    <w:rsid w:val="003E3716"/>
    <w:rsid w:val="003E5DAC"/>
    <w:rsid w:val="003F25D9"/>
    <w:rsid w:val="003F7A5A"/>
    <w:rsid w:val="0041101D"/>
    <w:rsid w:val="004119A6"/>
    <w:rsid w:val="00472585"/>
    <w:rsid w:val="00485B6D"/>
    <w:rsid w:val="004927B8"/>
    <w:rsid w:val="004C2A7C"/>
    <w:rsid w:val="004E5737"/>
    <w:rsid w:val="005027BE"/>
    <w:rsid w:val="0058299C"/>
    <w:rsid w:val="00582A6B"/>
    <w:rsid w:val="00584803"/>
    <w:rsid w:val="00587107"/>
    <w:rsid w:val="00591A0A"/>
    <w:rsid w:val="00591A2B"/>
    <w:rsid w:val="00595A2A"/>
    <w:rsid w:val="005C69F7"/>
    <w:rsid w:val="005E4730"/>
    <w:rsid w:val="00605546"/>
    <w:rsid w:val="006323D3"/>
    <w:rsid w:val="00636F15"/>
    <w:rsid w:val="006C4A34"/>
    <w:rsid w:val="006E00C2"/>
    <w:rsid w:val="006F0437"/>
    <w:rsid w:val="006F7A26"/>
    <w:rsid w:val="00705BDA"/>
    <w:rsid w:val="007540C7"/>
    <w:rsid w:val="0075428D"/>
    <w:rsid w:val="00762E2B"/>
    <w:rsid w:val="00792A9A"/>
    <w:rsid w:val="00876397"/>
    <w:rsid w:val="008B5B04"/>
    <w:rsid w:val="008C62E3"/>
    <w:rsid w:val="008E6F8C"/>
    <w:rsid w:val="00901E03"/>
    <w:rsid w:val="00915FC4"/>
    <w:rsid w:val="00917FBA"/>
    <w:rsid w:val="009343AC"/>
    <w:rsid w:val="00947C62"/>
    <w:rsid w:val="009544E6"/>
    <w:rsid w:val="00960FA3"/>
    <w:rsid w:val="0098270D"/>
    <w:rsid w:val="009B6091"/>
    <w:rsid w:val="00A243D2"/>
    <w:rsid w:val="00A35B49"/>
    <w:rsid w:val="00A4395B"/>
    <w:rsid w:val="00A7563F"/>
    <w:rsid w:val="00A81F15"/>
    <w:rsid w:val="00AB6BA1"/>
    <w:rsid w:val="00AB6DC1"/>
    <w:rsid w:val="00AC2279"/>
    <w:rsid w:val="00AD3A04"/>
    <w:rsid w:val="00AD7FE6"/>
    <w:rsid w:val="00B157B3"/>
    <w:rsid w:val="00B47F02"/>
    <w:rsid w:val="00B73B9C"/>
    <w:rsid w:val="00B77F0C"/>
    <w:rsid w:val="00B86C23"/>
    <w:rsid w:val="00BB797A"/>
    <w:rsid w:val="00BC404F"/>
    <w:rsid w:val="00BD23A3"/>
    <w:rsid w:val="00BE7D61"/>
    <w:rsid w:val="00C276A1"/>
    <w:rsid w:val="00C35C05"/>
    <w:rsid w:val="00C471AD"/>
    <w:rsid w:val="00C74891"/>
    <w:rsid w:val="00C826E8"/>
    <w:rsid w:val="00C832BB"/>
    <w:rsid w:val="00C91751"/>
    <w:rsid w:val="00C93C14"/>
    <w:rsid w:val="00CA75D1"/>
    <w:rsid w:val="00CC685D"/>
    <w:rsid w:val="00CF0D94"/>
    <w:rsid w:val="00D713E8"/>
    <w:rsid w:val="00D9190F"/>
    <w:rsid w:val="00DA2432"/>
    <w:rsid w:val="00DA3563"/>
    <w:rsid w:val="00DC4079"/>
    <w:rsid w:val="00DE0715"/>
    <w:rsid w:val="00E1168F"/>
    <w:rsid w:val="00E25C85"/>
    <w:rsid w:val="00E519A3"/>
    <w:rsid w:val="00E57E18"/>
    <w:rsid w:val="00E7511A"/>
    <w:rsid w:val="00E91C4E"/>
    <w:rsid w:val="00E92891"/>
    <w:rsid w:val="00E95187"/>
    <w:rsid w:val="00EA0FB2"/>
    <w:rsid w:val="00EA2377"/>
    <w:rsid w:val="00EB0661"/>
    <w:rsid w:val="00ED52BA"/>
    <w:rsid w:val="00EE6578"/>
    <w:rsid w:val="00EF3893"/>
    <w:rsid w:val="00F0427C"/>
    <w:rsid w:val="00F15906"/>
    <w:rsid w:val="00F240AE"/>
    <w:rsid w:val="00F27C6A"/>
    <w:rsid w:val="00F45C0F"/>
    <w:rsid w:val="00F760DA"/>
    <w:rsid w:val="00FB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DF44"/>
  <w15:chartTrackingRefBased/>
  <w15:docId w15:val="{160BD88F-1DC6-4FBE-928D-041EC251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1F15"/>
    <w:pPr>
      <w:spacing w:after="0"/>
      <w:ind w:firstLine="720"/>
    </w:pPr>
    <w:rPr>
      <w:rFonts w:ascii="Times New Roman" w:hAnsi="Times New Roman" w:cs="Times New Roman"/>
      <w:sz w:val="24"/>
    </w:rPr>
  </w:style>
  <w:style w:type="paragraph" w:styleId="Heading2">
    <w:name w:val="heading 2"/>
    <w:basedOn w:val="Normal"/>
    <w:next w:val="Normal"/>
    <w:link w:val="Heading2Char"/>
    <w:autoRedefine/>
    <w:uiPriority w:val="9"/>
    <w:unhideWhenUsed/>
    <w:qFormat/>
    <w:rsid w:val="00A81F15"/>
    <w:pPr>
      <w:keepNext/>
      <w:keepLines/>
      <w:spacing w:before="40" w:line="240" w:lineRule="auto"/>
      <w:ind w:firstLine="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A81F15"/>
    <w:pPr>
      <w:keepNext/>
      <w:keepLines/>
      <w:spacing w:before="40" w:line="240" w:lineRule="auto"/>
      <w:ind w:firstLine="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F1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81F15"/>
    <w:rPr>
      <w:rFonts w:ascii="Times New Roman" w:eastAsiaTheme="majorEastAsia" w:hAnsi="Times New Roman" w:cstheme="majorBidi"/>
      <w:i/>
      <w:sz w:val="24"/>
      <w:szCs w:val="24"/>
    </w:rPr>
  </w:style>
  <w:style w:type="character" w:styleId="CommentReference">
    <w:name w:val="annotation reference"/>
    <w:basedOn w:val="DefaultParagraphFont"/>
    <w:uiPriority w:val="99"/>
    <w:semiHidden/>
    <w:unhideWhenUsed/>
    <w:rsid w:val="00A81F15"/>
    <w:rPr>
      <w:sz w:val="18"/>
      <w:szCs w:val="18"/>
    </w:rPr>
  </w:style>
  <w:style w:type="paragraph" w:styleId="CommentText">
    <w:name w:val="annotation text"/>
    <w:basedOn w:val="Normal"/>
    <w:link w:val="CommentTextChar"/>
    <w:uiPriority w:val="99"/>
    <w:semiHidden/>
    <w:unhideWhenUsed/>
    <w:rsid w:val="00A81F15"/>
    <w:pPr>
      <w:spacing w:line="240" w:lineRule="auto"/>
    </w:pPr>
    <w:rPr>
      <w:szCs w:val="24"/>
    </w:rPr>
  </w:style>
  <w:style w:type="character" w:customStyle="1" w:styleId="CommentTextChar">
    <w:name w:val="Comment Text Char"/>
    <w:basedOn w:val="DefaultParagraphFont"/>
    <w:link w:val="CommentText"/>
    <w:uiPriority w:val="99"/>
    <w:semiHidden/>
    <w:rsid w:val="00A81F1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81F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F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2803">
      <w:bodyDiv w:val="1"/>
      <w:marLeft w:val="0"/>
      <w:marRight w:val="0"/>
      <w:marTop w:val="0"/>
      <w:marBottom w:val="0"/>
      <w:divBdr>
        <w:top w:val="none" w:sz="0" w:space="0" w:color="auto"/>
        <w:left w:val="none" w:sz="0" w:space="0" w:color="auto"/>
        <w:bottom w:val="none" w:sz="0" w:space="0" w:color="auto"/>
        <w:right w:val="none" w:sz="0" w:space="0" w:color="auto"/>
      </w:divBdr>
    </w:div>
    <w:div w:id="199027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Google%20Drive\UC%20Davis\Dissertation%20for%20PhD\Data%20table%20scaffol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'data sheet'!$D$2</c:f>
              <c:strCache>
                <c:ptCount val="1"/>
                <c:pt idx="0">
                  <c:v>acetate</c:v>
                </c:pt>
              </c:strCache>
            </c:strRef>
          </c:tx>
          <c:spPr>
            <a:ln w="19050" cap="rnd">
              <a:noFill/>
              <a:round/>
            </a:ln>
            <a:effectLst/>
          </c:spPr>
          <c:marker>
            <c:symbol val="circle"/>
            <c:size val="5"/>
            <c:spPr>
              <a:solidFill>
                <a:schemeClr val="accent1"/>
              </a:solidFill>
              <a:ln w="9525">
                <a:solidFill>
                  <a:schemeClr val="accent1"/>
                </a:solidFill>
              </a:ln>
              <a:effectLst/>
            </c:spPr>
          </c:marker>
          <c:xVal>
            <c:numRef>
              <c:f>'data sheet'!$C$3:$C$17</c:f>
              <c:numCache>
                <c:formatCode>General</c:formatCode>
                <c:ptCount val="15"/>
                <c:pt idx="0">
                  <c:v>-1</c:v>
                </c:pt>
                <c:pt idx="1">
                  <c:v>-1</c:v>
                </c:pt>
                <c:pt idx="2">
                  <c:v>1</c:v>
                </c:pt>
                <c:pt idx="3">
                  <c:v>1</c:v>
                </c:pt>
                <c:pt idx="4">
                  <c:v>0</c:v>
                </c:pt>
                <c:pt idx="5">
                  <c:v>-1</c:v>
                </c:pt>
                <c:pt idx="6">
                  <c:v>0</c:v>
                </c:pt>
                <c:pt idx="7">
                  <c:v>1</c:v>
                </c:pt>
                <c:pt idx="8">
                  <c:v>0</c:v>
                </c:pt>
                <c:pt idx="9">
                  <c:v>0</c:v>
                </c:pt>
                <c:pt idx="10">
                  <c:v>0</c:v>
                </c:pt>
                <c:pt idx="11">
                  <c:v>0</c:v>
                </c:pt>
                <c:pt idx="12">
                  <c:v>0</c:v>
                </c:pt>
                <c:pt idx="13">
                  <c:v>0</c:v>
                </c:pt>
                <c:pt idx="14">
                  <c:v>0</c:v>
                </c:pt>
              </c:numCache>
            </c:numRef>
          </c:xVal>
          <c:yVal>
            <c:numRef>
              <c:f>'data sheet'!$D$3:$D$17</c:f>
              <c:numCache>
                <c:formatCode>General</c:formatCode>
                <c:ptCount val="15"/>
                <c:pt idx="0">
                  <c:v>-1</c:v>
                </c:pt>
                <c:pt idx="1">
                  <c:v>1</c:v>
                </c:pt>
                <c:pt idx="2">
                  <c:v>-1</c:v>
                </c:pt>
                <c:pt idx="3">
                  <c:v>1</c:v>
                </c:pt>
                <c:pt idx="4">
                  <c:v>-1</c:v>
                </c:pt>
                <c:pt idx="5">
                  <c:v>0</c:v>
                </c:pt>
                <c:pt idx="6">
                  <c:v>1</c:v>
                </c:pt>
                <c:pt idx="7">
                  <c:v>0</c:v>
                </c:pt>
                <c:pt idx="8">
                  <c:v>0</c:v>
                </c:pt>
                <c:pt idx="9">
                  <c:v>0</c:v>
                </c:pt>
                <c:pt idx="10">
                  <c:v>0</c:v>
                </c:pt>
                <c:pt idx="11">
                  <c:v>0</c:v>
                </c:pt>
                <c:pt idx="12">
                  <c:v>0</c:v>
                </c:pt>
                <c:pt idx="13">
                  <c:v>0</c:v>
                </c:pt>
                <c:pt idx="14">
                  <c:v>0.5</c:v>
                </c:pt>
              </c:numCache>
            </c:numRef>
          </c:yVal>
          <c:smooth val="0"/>
          <c:extLst>
            <c:ext xmlns:c16="http://schemas.microsoft.com/office/drawing/2014/chart" uri="{C3380CC4-5D6E-409C-BE32-E72D297353CC}">
              <c16:uniqueId val="{00000000-525D-444E-8A5E-7B20C0AB31E8}"/>
            </c:ext>
          </c:extLst>
        </c:ser>
        <c:dLbls>
          <c:showLegendKey val="0"/>
          <c:showVal val="0"/>
          <c:showCatName val="0"/>
          <c:showSerName val="0"/>
          <c:showPercent val="0"/>
          <c:showBubbleSize val="0"/>
        </c:dLbls>
        <c:axId val="433870896"/>
        <c:axId val="433872536"/>
      </c:scatterChart>
      <c:valAx>
        <c:axId val="43387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872536"/>
        <c:crosses val="autoZero"/>
        <c:crossBetween val="midCat"/>
      </c:valAx>
      <c:valAx>
        <c:axId val="433872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Acetate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870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64577-FDC4-4686-B45A-0A42DA79B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Dowdy</dc:creator>
  <cp:keywords/>
  <dc:description/>
  <cp:lastModifiedBy>Ryan Dowdy</cp:lastModifiedBy>
  <cp:revision>8</cp:revision>
  <dcterms:created xsi:type="dcterms:W3CDTF">2017-06-26T20:22:00Z</dcterms:created>
  <dcterms:modified xsi:type="dcterms:W3CDTF">2017-07-31T19:31:00Z</dcterms:modified>
</cp:coreProperties>
</file>