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inline distT="0" distB="0" distL="0" distR="0">
            <wp:extent cx="438150" cy="4381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 cy="438150"/>
                    </a:xfrm>
                    <a:prstGeom prst="rect">
                      <a:avLst/>
                    </a:prstGeom>
                  </pic:spPr>
                </pic:pic>
              </a:graphicData>
            </a:graphic>
          </wp:inline>
        </w:drawing>
      </w:r>
      <w:r>
        <w:rPr>
          <w:rFonts w:ascii="Arial" w:cs="Arial" w:eastAsia="Arial" w:hAnsi="Arial"/>
          <w:b/>
          <w:bCs/>
          <w:color w:val="2A0E45"/>
          <w:sz w:val="30"/>
          <w:szCs w:val="30"/>
        </w:rPr>
        <w:t xml:space="preserve">   UNISSON</w:t>
      </w:r>
      <w:r>
        <w:rPr>
          <w:b/>
          <w:bCs/>
          <w:color w:val="6D28D9"/>
          <w:spacing w:val="20"/>
          <w:sz w:val="15"/>
          <w:szCs w:val="15"/>
        </w:rPr>
        <w:t xml:space="preserve">   ASSOCIATION ÉDUCATION SOLIDAIRE</w:t>
      </w:r>
    </w:p>
    <w:p>
      <w:pPr>
        <w:spacing w:after="40" w:before="240"/>
      </w:pPr>
      <w:r>
        <w:rPr>
          <w:b/>
          <w:bCs/>
          <w:color w:val="6D28D9"/>
          <w:spacing w:val="30"/>
          <w:sz w:val="16"/>
          <w:szCs w:val="16"/>
        </w:rPr>
        <w:t xml:space="preserve">PHASE 1 · FICHES 1.3 ET 1.6 · ARTICLES 7, 9 ET 10 DES STATUTS</w:t>
      </w:r>
    </w:p>
    <w:p>
      <w:pPr>
        <w:spacing w:after="80"/>
      </w:pPr>
      <w:r>
        <w:rPr>
          <w:b/>
          <w:bCs/>
          <w:color w:val="2A0E45"/>
          <w:sz w:val="40"/>
          <w:szCs w:val="40"/>
        </w:rPr>
        <w:t xml:space="preserve">Procès-verbal du Conseil d'Administration n° 1</w:t>
      </w:r>
    </w:p>
    <w:p>
      <w:pPr>
        <w:pBdr>
          <w:bottom w:val="single" w:color="F4A259" w:sz="18" w:space="6"/>
        </w:pBdr>
        <w:spacing w:after="200"/>
      </w:pPr>
      <w:r>
        <w:rPr>
          <w:color w:val="574A66"/>
          <w:sz w:val="17"/>
          <w:szCs w:val="17"/>
        </w:rPr>
        <w:t xml:space="preserve">Modèle à compléter · Fixation des cotisations, budget, mandats bancaires et assurance, délégation de signature, règle du Fonds de Premier Secours Social</w:t>
      </w:r>
    </w:p>
    <w:p>
      <w:pPr>
        <w:spacing w:after="100"/>
        <w:jc w:val="both"/>
      </w:pPr>
      <w:r>
        <w:t xml:space="preserve">Le ___/___/2026 à ___h___, les membres du Conseil d'Administration de l'association EDUCATION SOLIDAIRE (UNISSON — Association Éducation Solidaire) se sont réunis au siège social, 45, rue Henri Barbusse, 92230 Gennevilliers, sur convocation du Président adressée le ___/___/2026, soit au moins sept jours avant la séance, avec l'ordre du jour ci-dessous.</w:t>
      </w:r>
    </w:p>
    <w:p>
      <w:pPr>
        <w:pStyle w:val="Heading2"/>
      </w:pPr>
      <w:r>
        <w:t xml:space="preserve">Présents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838"/>
      </w:tblGrid>
      <w:tr>
        <w:trPr>
          <w:tblHeader/>
        </w:trPr>
        <w:tc>
          <w:tcPr>
            <w:tcW w:type="dxa" w:w="3200"/>
            <w:tcBorders>
              <w:top w:val="single" w:color="D9CCEF" w:sz="4"/>
              <w:left w:val="single" w:color="D9CCEF" w:sz="4"/>
              <w:bottom w:val="single" w:color="D9CCEF" w:sz="4"/>
              <w:right w:val="single" w:color="D9CCEF" w:sz="4"/>
            </w:tcBorders>
            <w:shd w:fill="2A0E45" w:color="auto" w:val="clear"/>
            <w:tcMar>
              <w:top w:type="dxa" w:w="60"/>
              <w:left w:type="dxa" w:w="100"/>
              <w:bottom w:type="dxa" w:w="60"/>
              <w:right w:type="dxa" w:w="100"/>
            </w:tcMar>
            <w:vAlign w:val="top"/>
          </w:tcPr>
          <w:p>
            <w:pPr>
              <w:spacing w:after="40" w:before="40"/>
            </w:pPr>
            <w:r>
              <w:rPr>
                <w:b/>
                <w:bCs/>
                <w:color w:val="FFFFFF"/>
                <w:sz w:val="17"/>
                <w:szCs w:val="17"/>
              </w:rPr>
              <w:t xml:space="preserve">Nom</w:t>
            </w:r>
          </w:p>
        </w:tc>
        <w:tc>
          <w:tcPr>
            <w:tcW w:type="dxa" w:w="3600"/>
            <w:tcBorders>
              <w:top w:val="single" w:color="D9CCEF" w:sz="4"/>
              <w:left w:val="single" w:color="D9CCEF" w:sz="4"/>
              <w:bottom w:val="single" w:color="D9CCEF" w:sz="4"/>
              <w:right w:val="single" w:color="D9CCEF" w:sz="4"/>
            </w:tcBorders>
            <w:shd w:fill="2A0E45" w:color="auto" w:val="clear"/>
            <w:tcMar>
              <w:top w:type="dxa" w:w="60"/>
              <w:left w:type="dxa" w:w="100"/>
              <w:bottom w:type="dxa" w:w="60"/>
              <w:right w:type="dxa" w:w="100"/>
            </w:tcMar>
            <w:vAlign w:val="top"/>
          </w:tcPr>
          <w:p>
            <w:pPr>
              <w:spacing w:after="40" w:before="40"/>
            </w:pPr>
            <w:r>
              <w:rPr>
                <w:b/>
                <w:bCs/>
                <w:color w:val="FFFFFF"/>
                <w:sz w:val="17"/>
                <w:szCs w:val="17"/>
              </w:rPr>
              <w:t xml:space="preserve">Qualité</w:t>
            </w:r>
          </w:p>
        </w:tc>
        <w:tc>
          <w:tcPr>
            <w:tcW w:type="dxa" w:w="2838"/>
            <w:tcBorders>
              <w:top w:val="single" w:color="D9CCEF" w:sz="4"/>
              <w:left w:val="single" w:color="D9CCEF" w:sz="4"/>
              <w:bottom w:val="single" w:color="D9CCEF" w:sz="4"/>
              <w:right w:val="single" w:color="D9CCEF" w:sz="4"/>
            </w:tcBorders>
            <w:shd w:fill="2A0E45" w:color="auto" w:val="clear"/>
            <w:tcMar>
              <w:top w:type="dxa" w:w="60"/>
              <w:left w:type="dxa" w:w="100"/>
              <w:bottom w:type="dxa" w:w="60"/>
              <w:right w:type="dxa" w:w="100"/>
            </w:tcMar>
            <w:vAlign w:val="top"/>
          </w:tcPr>
          <w:p>
            <w:pPr>
              <w:spacing w:after="40" w:before="40"/>
            </w:pPr>
            <w:r>
              <w:rPr>
                <w:b/>
                <w:bCs/>
                <w:color w:val="FFFFFF"/>
                <w:sz w:val="17"/>
                <w:szCs w:val="17"/>
              </w:rPr>
              <w:t xml:space="preserve">Émargement</w:t>
            </w:r>
          </w:p>
        </w:tc>
      </w:tr>
      <w:tr>
        <w:trPr>
          <w:cantSplit/>
        </w:trPr>
        <w:tc>
          <w:tcPr>
            <w:tcW w:type="dxa" w:w="32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Sabri TOUJANI</w:t>
            </w:r>
          </w:p>
        </w:tc>
        <w:tc>
          <w:tcPr>
            <w:tcW w:type="dxa" w:w="36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Président, membre fondateur</w:t>
            </w:r>
          </w:p>
        </w:tc>
        <w:tc>
          <w:tcPr>
            <w:tcW w:type="dxa" w:w="2838"/>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p>
        </w:tc>
      </w:tr>
      <w:tr>
        <w:trPr>
          <w:cantSplit/>
        </w:trPr>
        <w:tc>
          <w:tcPr>
            <w:tcW w:type="dxa" w:w="32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Tahar BENHALIMA</w:t>
            </w:r>
          </w:p>
        </w:tc>
        <w:tc>
          <w:tcPr>
            <w:tcW w:type="dxa" w:w="36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Trésorier, membre fondateur</w:t>
            </w:r>
          </w:p>
        </w:tc>
        <w:tc>
          <w:tcPr>
            <w:tcW w:type="dxa" w:w="2838"/>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p>
        </w:tc>
      </w:tr>
    </w:tbl>
    <w:p>
      <w:pPr>
        <w:spacing w:after="60"/>
      </w:pPr>
    </w:p>
    <w:p>
      <w:pPr>
        <w:spacing w:after="100"/>
        <w:jc w:val="both"/>
      </w:pPr>
      <w:r>
        <w:t xml:space="preserve">Deux administrateurs sur deux étant présents, le quorum de la moitié des membres (article 7 du règlement intérieur) est atteint et le Conseil peut valablement délibérer. La séance est présidée par Sabri TOUJANI ; Tahar BENHALIMA assure le secrétariat de séance.</w:t>
      </w:r>
    </w:p>
    <w:p>
      <w:pPr>
        <w:pStyle w:val="Heading2"/>
      </w:pPr>
      <w:r>
        <w:t xml:space="preserve">Ordre du jour</w:t>
      </w:r>
    </w:p>
    <w:p>
      <w:pPr>
        <w:pStyle w:val="ListParagraph"/>
        <w:numPr>
          <w:ilvl w:val="0"/>
          <w:numId w:val="2"/>
        </w:numPr>
        <w:spacing w:after="50"/>
      </w:pPr>
      <w:r>
        <w:t xml:space="preserve">Fixation des cotisations pour 2026-2027</w:t>
      </w:r>
    </w:p>
    <w:p>
      <w:pPr>
        <w:pStyle w:val="ListParagraph"/>
        <w:numPr>
          <w:ilvl w:val="0"/>
          <w:numId w:val="2"/>
        </w:numPr>
        <w:spacing w:after="50"/>
      </w:pPr>
      <w:r>
        <w:t xml:space="preserve">Approbation du budget prévisionnel de la première année</w:t>
      </w:r>
    </w:p>
    <w:p>
      <w:pPr>
        <w:pStyle w:val="ListParagraph"/>
        <w:numPr>
          <w:ilvl w:val="0"/>
          <w:numId w:val="2"/>
        </w:numPr>
        <w:spacing w:after="50"/>
      </w:pPr>
      <w:r>
        <w:t xml:space="preserve">Mandat au Président pour l'ouverture du compte bancaire</w:t>
      </w:r>
    </w:p>
    <w:p>
      <w:pPr>
        <w:pStyle w:val="ListParagraph"/>
        <w:numPr>
          <w:ilvl w:val="0"/>
          <w:numId w:val="2"/>
        </w:numPr>
        <w:spacing w:after="50"/>
      </w:pPr>
      <w:r>
        <w:t xml:space="preserve">Délégation de signature et règle de la double validation</w:t>
      </w:r>
    </w:p>
    <w:p>
      <w:pPr>
        <w:pStyle w:val="ListParagraph"/>
        <w:numPr>
          <w:ilvl w:val="0"/>
          <w:numId w:val="2"/>
        </w:numPr>
        <w:spacing w:after="50"/>
      </w:pPr>
      <w:r>
        <w:t xml:space="preserve">Mandat au Président pour la souscription de l'assurance</w:t>
      </w:r>
    </w:p>
    <w:p>
      <w:pPr>
        <w:pStyle w:val="ListParagraph"/>
        <w:numPr>
          <w:ilvl w:val="0"/>
          <w:numId w:val="2"/>
        </w:numPr>
        <w:spacing w:after="50"/>
      </w:pPr>
      <w:r>
        <w:t xml:space="preserve">Règle du Fonds de Premier Secours Social</w:t>
      </w:r>
    </w:p>
    <w:p>
      <w:pPr>
        <w:pStyle w:val="ListParagraph"/>
        <w:numPr>
          <w:ilvl w:val="0"/>
          <w:numId w:val="2"/>
        </w:numPr>
        <w:spacing w:after="50"/>
      </w:pPr>
      <w:r>
        <w:t xml:space="preserve">Désignation du référent données personnelles</w:t>
      </w:r>
    </w:p>
    <w:p>
      <w:pPr>
        <w:pStyle w:val="ListParagraph"/>
        <w:numPr>
          <w:ilvl w:val="0"/>
          <w:numId w:val="2"/>
        </w:numPr>
        <w:spacing w:after="50"/>
      </w:pPr>
      <w:r>
        <w:t xml:space="preserve">Questions diverses</w:t>
      </w:r>
    </w:p>
    <w:p>
      <w:pPr>
        <w:pStyle w:val="Heading2"/>
      </w:pPr>
      <w:r>
        <w:t xml:space="preserve">Résolution 1 — Cotisations</w:t>
      </w:r>
    </w:p>
    <w:p>
      <w:pPr>
        <w:spacing w:after="100"/>
        <w:jc w:val="both"/>
      </w:pPr>
      <w:r>
        <w:t xml:space="preserve">En application de l'article 7 des statuts, le Conseil fixe comme suit les cotisations annuelles, valables pour l'année civile (adhésion souscrite après le 1er octobre valable jusqu'au 31 décembre de l'année suivante)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5138"/>
      </w:tblGrid>
      <w:tr>
        <w:trPr>
          <w:tblHeader/>
        </w:trPr>
        <w:tc>
          <w:tcPr>
            <w:tcW w:type="dxa" w:w="2700"/>
            <w:tcBorders>
              <w:top w:val="single" w:color="D9CCEF" w:sz="4"/>
              <w:left w:val="single" w:color="D9CCEF" w:sz="4"/>
              <w:bottom w:val="single" w:color="D9CCEF" w:sz="4"/>
              <w:right w:val="single" w:color="D9CCEF" w:sz="4"/>
            </w:tcBorders>
            <w:shd w:fill="2A0E45" w:color="auto" w:val="clear"/>
            <w:tcMar>
              <w:top w:type="dxa" w:w="60"/>
              <w:left w:type="dxa" w:w="100"/>
              <w:bottom w:type="dxa" w:w="60"/>
              <w:right w:type="dxa" w:w="100"/>
            </w:tcMar>
            <w:vAlign w:val="top"/>
          </w:tcPr>
          <w:p>
            <w:pPr>
              <w:spacing w:after="40" w:before="40"/>
            </w:pPr>
            <w:r>
              <w:rPr>
                <w:b/>
                <w:bCs/>
                <w:color w:val="FFFFFF"/>
                <w:sz w:val="17"/>
                <w:szCs w:val="17"/>
              </w:rPr>
              <w:t xml:space="preserve">Formule</w:t>
            </w:r>
          </w:p>
        </w:tc>
        <w:tc>
          <w:tcPr>
            <w:tcW w:type="dxa" w:w="1800"/>
            <w:tcBorders>
              <w:top w:val="single" w:color="D9CCEF" w:sz="4"/>
              <w:left w:val="single" w:color="D9CCEF" w:sz="4"/>
              <w:bottom w:val="single" w:color="D9CCEF" w:sz="4"/>
              <w:right w:val="single" w:color="D9CCEF" w:sz="4"/>
            </w:tcBorders>
            <w:shd w:fill="2A0E45" w:color="auto" w:val="clear"/>
            <w:tcMar>
              <w:top w:type="dxa" w:w="60"/>
              <w:left w:type="dxa" w:w="100"/>
              <w:bottom w:type="dxa" w:w="60"/>
              <w:right w:type="dxa" w:w="100"/>
            </w:tcMar>
            <w:vAlign w:val="top"/>
          </w:tcPr>
          <w:p>
            <w:pPr>
              <w:spacing w:after="40" w:before="40"/>
            </w:pPr>
            <w:r>
              <w:rPr>
                <w:b/>
                <w:bCs/>
                <w:color w:val="FFFFFF"/>
                <w:sz w:val="17"/>
                <w:szCs w:val="17"/>
              </w:rPr>
              <w:t xml:space="preserve">Montant</w:t>
            </w:r>
          </w:p>
        </w:tc>
        <w:tc>
          <w:tcPr>
            <w:tcW w:type="dxa" w:w="5138"/>
            <w:tcBorders>
              <w:top w:val="single" w:color="D9CCEF" w:sz="4"/>
              <w:left w:val="single" w:color="D9CCEF" w:sz="4"/>
              <w:bottom w:val="single" w:color="D9CCEF" w:sz="4"/>
              <w:right w:val="single" w:color="D9CCEF" w:sz="4"/>
            </w:tcBorders>
            <w:shd w:fill="2A0E45" w:color="auto" w:val="clear"/>
            <w:tcMar>
              <w:top w:type="dxa" w:w="60"/>
              <w:left w:type="dxa" w:w="100"/>
              <w:bottom w:type="dxa" w:w="60"/>
              <w:right w:type="dxa" w:w="100"/>
            </w:tcMar>
            <w:vAlign w:val="top"/>
          </w:tcPr>
          <w:p>
            <w:pPr>
              <w:spacing w:after="40" w:before="40"/>
            </w:pPr>
            <w:r>
              <w:rPr>
                <w:b/>
                <w:bCs/>
                <w:color w:val="FFFFFF"/>
                <w:sz w:val="17"/>
                <w:szCs w:val="17"/>
              </w:rPr>
              <w:t xml:space="preserve">Public</w:t>
            </w:r>
          </w:p>
        </w:tc>
      </w:tr>
      <w:tr>
        <w:trPr>
          <w:cantSplit/>
        </w:trPr>
        <w:tc>
          <w:tcPr>
            <w:tcW w:type="dxa" w:w="27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Cotisation Solidaire</w:t>
            </w:r>
          </w:p>
        </w:tc>
        <w:tc>
          <w:tcPr>
            <w:tcW w:type="dxa" w:w="18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5 €</w:t>
            </w:r>
          </w:p>
        </w:tc>
        <w:tc>
          <w:tcPr>
            <w:tcW w:type="dxa" w:w="5138"/>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Familles à faibles ressources, demandeurs d'emploi, étudiants, jeunes</w:t>
            </w:r>
          </w:p>
        </w:tc>
      </w:tr>
      <w:tr>
        <w:trPr>
          <w:cantSplit/>
        </w:trPr>
        <w:tc>
          <w:tcPr>
            <w:tcW w:type="dxa" w:w="27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Bénévole Actif</w:t>
            </w:r>
          </w:p>
        </w:tc>
        <w:tc>
          <w:tcPr>
            <w:tcW w:type="dxa" w:w="18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10 €</w:t>
            </w:r>
          </w:p>
        </w:tc>
        <w:tc>
          <w:tcPr>
            <w:tcW w:type="dxa" w:w="5138"/>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Membres engagés dans les missions</w:t>
            </w:r>
          </w:p>
        </w:tc>
      </w:tr>
      <w:tr>
        <w:trPr>
          <w:cantSplit/>
        </w:trPr>
        <w:tc>
          <w:tcPr>
            <w:tcW w:type="dxa" w:w="27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Pass Famille / Duo</w:t>
            </w:r>
          </w:p>
        </w:tc>
        <w:tc>
          <w:tcPr>
            <w:tcW w:type="dxa" w:w="18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25 €</w:t>
            </w:r>
          </w:p>
        </w:tc>
        <w:tc>
          <w:tcPr>
            <w:tcW w:type="dxa" w:w="5138"/>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Foyer complet</w:t>
            </w:r>
          </w:p>
        </w:tc>
      </w:tr>
      <w:tr>
        <w:trPr>
          <w:cantSplit/>
        </w:trPr>
        <w:tc>
          <w:tcPr>
            <w:tcW w:type="dxa" w:w="27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Membre Bienfaiteur</w:t>
            </w:r>
          </w:p>
        </w:tc>
        <w:tc>
          <w:tcPr>
            <w:tcW w:type="dxa" w:w="18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50 € minimum</w:t>
            </w:r>
          </w:p>
        </w:tc>
        <w:tc>
          <w:tcPr>
            <w:tcW w:type="dxa" w:w="5138"/>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Donateurs, professionnels, partenaires</w:t>
            </w:r>
          </w:p>
        </w:tc>
      </w:tr>
    </w:tbl>
    <w:p>
      <w:pPr>
        <w:spacing w:after="60"/>
      </w:pPr>
    </w:p>
    <w:p>
      <w:pPr>
        <w:spacing w:after="100"/>
        <w:jc w:val="both"/>
      </w:pPr>
      <w:r>
        <w:t xml:space="preserve">Le Conseil rappelle que la cotisation n'ouvre pas droit au reçu fiscal ; seuls les dons sans contrepartie en bénéficient. </w:t>
      </w:r>
      <w:r>
        <w:rPr>
          <w:b/>
          <w:bCs/>
        </w:rPr>
        <w:t xml:space="preserve">Vote :</w:t>
      </w:r>
      <w:r>
        <w:t xml:space="preserve"> pour ___ · contre ___ · abstention ___.</w:t>
      </w:r>
    </w:p>
    <w:p>
      <w:pPr>
        <w:pStyle w:val="Heading2"/>
      </w:pPr>
      <w:r>
        <w:t xml:space="preserve">Résolution 2 — Budget prévisionnel</w:t>
      </w:r>
    </w:p>
    <w:p>
      <w:pPr>
        <w:spacing w:after="100"/>
        <w:jc w:val="both"/>
      </w:pPr>
      <w:r>
        <w:t xml:space="preserve">Le Conseil approuve le budget prévisionnel de la première année présenté par le Trésorier, arrêté à </w:t>
      </w:r>
      <w:r>
        <w:rPr>
          <w:b/>
          <w:bCs/>
        </w:rPr>
        <w:t xml:space="preserve">6 820 € de dépenses</w:t>
      </w:r>
      <w:r>
        <w:t xml:space="preserve"> et </w:t>
      </w:r>
      <w:r>
        <w:rPr>
          <w:b/>
          <w:bCs/>
        </w:rPr>
        <w:t xml:space="preserve">7 140 € de recettes</w:t>
      </w:r>
      <w:r>
        <w:t xml:space="preserve">, soit un excédent prévisionnel de 320 € intégralement affecté aux réserves impartageables (article 15 bis des statuts). Il prend acte du scénario dégradé à 4 280 € de dépenses, qui préserve l'assurance, la téléphonie et la conformité. </w:t>
      </w:r>
      <w:r>
        <w:rPr>
          <w:b/>
          <w:bCs/>
        </w:rPr>
        <w:t xml:space="preserve">Vote :</w:t>
      </w:r>
      <w:r>
        <w:t xml:space="preserve"> pour ___ · contre ___ · abstention ___.</w:t>
      </w:r>
    </w:p>
    <w:p>
      <w:pPr>
        <w:pStyle w:val="Heading2"/>
      </w:pPr>
      <w:r>
        <w:t xml:space="preserve">Résolution 3 — Ouverture du compte bancaire</w:t>
      </w:r>
    </w:p>
    <w:p>
      <w:pPr>
        <w:spacing w:after="100"/>
        <w:jc w:val="both"/>
      </w:pPr>
      <w:r>
        <w:t xml:space="preserve">Le Conseil donne mandat au Président, Sabri TOUJANI, pour ouvrir au nom de l'association « EDUCATION SOLIDAIRE » un compte courant auprès de l'établissement ______________________, avec accès en consultation pour le Trésorier et une carte de paiement réservée aux dépenses de l'association. Aucune autorisation de découvert n'est sollicitée. </w:t>
      </w:r>
      <w:r>
        <w:rPr>
          <w:b/>
          <w:bCs/>
        </w:rPr>
        <w:t xml:space="preserve">Vote :</w:t>
      </w:r>
      <w:r>
        <w:t xml:space="preserve"> pour ___ · contre ___ · abstention ___.</w:t>
      </w:r>
    </w:p>
    <w:p>
      <w:pPr>
        <w:pStyle w:val="Heading2"/>
      </w:pPr>
      <w:r>
        <w:t xml:space="preserve">Résolution 4 — Délégation de signature et double validation</w:t>
      </w:r>
    </w:p>
    <w:p>
      <w:pPr>
        <w:pStyle w:val="ListParagraph"/>
        <w:numPr>
          <w:ilvl w:val="0"/>
          <w:numId w:val="3"/>
        </w:numPr>
        <w:spacing w:after="50"/>
      </w:pPr>
      <w:r>
        <w:t xml:space="preserve">Le Président est ordonnateur des dépenses ; le Trésorier en assure la gestion et le contrôle.</w:t>
      </w:r>
    </w:p>
    <w:p>
      <w:pPr>
        <w:pStyle w:val="ListParagraph"/>
        <w:numPr>
          <w:ilvl w:val="0"/>
          <w:numId w:val="3"/>
        </w:numPr>
        <w:spacing w:after="50"/>
      </w:pPr>
      <w:r>
        <w:t xml:space="preserve">Toute dépense supérieure à </w:t>
      </w:r>
      <w:r>
        <w:rPr>
          <w:b/>
          <w:bCs/>
        </w:rPr>
        <w:t xml:space="preserve">300 €</w:t>
      </w:r>
      <w:r>
        <w:t xml:space="preserve"> requiert la validation écrite conjointe du Président et du Trésorier.</w:t>
      </w:r>
    </w:p>
    <w:p>
      <w:pPr>
        <w:pStyle w:val="ListParagraph"/>
        <w:numPr>
          <w:ilvl w:val="0"/>
          <w:numId w:val="3"/>
        </w:numPr>
        <w:spacing w:after="50"/>
      </w:pPr>
      <w:r>
        <w:t xml:space="preserve">Toute dépense supérieure à </w:t>
      </w:r>
      <w:r>
        <w:rPr>
          <w:b/>
          <w:bCs/>
        </w:rPr>
        <w:t xml:space="preserve">1 000 €</w:t>
      </w:r>
      <w:r>
        <w:t xml:space="preserve"> ou tout engagement de plus d'un an requiert une délibération du Conseil.</w:t>
      </w:r>
    </w:p>
    <w:p>
      <w:pPr>
        <w:pStyle w:val="ListParagraph"/>
        <w:numPr>
          <w:ilvl w:val="0"/>
          <w:numId w:val="3"/>
        </w:numPr>
        <w:spacing w:after="50"/>
      </w:pPr>
      <w:r>
        <w:t xml:space="preserve">Le Trésorier reçoit délégation pour régler les factures courantes déjà validées (assurance, abonnements, hébergement).</w:t>
      </w:r>
    </w:p>
    <w:p>
      <w:pPr>
        <w:spacing w:after="100"/>
        <w:jc w:val="both"/>
      </w:pPr>
      <w:r>
        <w:rPr>
          <w:b/>
          <w:bCs/>
        </w:rPr>
        <w:t xml:space="preserve">Vote :</w:t>
      </w:r>
      <w:r>
        <w:t xml:space="preserve"> pour ___ · contre ___ · abstention ___.</w:t>
      </w:r>
    </w:p>
    <w:p>
      <w:pPr>
        <w:pStyle w:val="Heading2"/>
      </w:pPr>
      <w:r>
        <w:t xml:space="preserve">Résolution 5 — Assurance</w:t>
      </w:r>
    </w:p>
    <w:p>
      <w:pPr>
        <w:spacing w:after="100"/>
        <w:jc w:val="both"/>
      </w:pPr>
      <w:r>
        <w:t xml:space="preserve">Le Conseil mandate le Président pour souscrire un contrat d'assurance responsabilité civile associative multirisque avec protection juridique, déclarant de façon exhaustive les activités réellement prévues, et couvrant les sept garanties du cahier des charges (feuille de route, § 6.2). Aucune activité d'accueil ou de terrain ne débute avant réception de l'attestation. </w:t>
      </w:r>
      <w:r>
        <w:rPr>
          <w:b/>
          <w:bCs/>
        </w:rPr>
        <w:t xml:space="preserve">Vote :</w:t>
      </w:r>
      <w:r>
        <w:t xml:space="preserve"> pour ___ · contre ___ · abstention ___.</w:t>
      </w:r>
    </w:p>
    <w:p>
      <w:pPr>
        <w:pStyle w:val="Heading2"/>
      </w:pPr>
      <w:r>
        <w:t xml:space="preserve">Résolution 6 — Fonds de Premier Secours Social</w:t>
      </w:r>
    </w:p>
    <w:p>
      <w:pPr>
        <w:pStyle w:val="ListParagraph"/>
        <w:numPr>
          <w:ilvl w:val="0"/>
          <w:numId w:val="3"/>
        </w:numPr>
        <w:spacing w:after="50"/>
      </w:pPr>
      <w:r>
        <w:t xml:space="preserve">Une ligne comptable dédiée « Fonds de Premier Secours Social » est créée ; elle ne peut financer que les mises à l'abri d'urgence.</w:t>
      </w:r>
    </w:p>
    <w:p>
      <w:pPr>
        <w:pStyle w:val="ListParagraph"/>
        <w:numPr>
          <w:ilvl w:val="0"/>
          <w:numId w:val="3"/>
        </w:numPr>
        <w:spacing w:after="50"/>
      </w:pPr>
      <w:r>
        <w:t xml:space="preserve">Le plafond est fixé à </w:t>
      </w:r>
      <w:r>
        <w:rPr>
          <w:b/>
          <w:bCs/>
        </w:rPr>
        <w:t xml:space="preserve">2 500 €</w:t>
      </w:r>
      <w:r>
        <w:t xml:space="preserve"> pour la première année. Il constitue une limite absolue, non un objectif.</w:t>
      </w:r>
    </w:p>
    <w:p>
      <w:pPr>
        <w:pStyle w:val="ListParagraph"/>
        <w:numPr>
          <w:ilvl w:val="0"/>
          <w:numId w:val="3"/>
        </w:numPr>
        <w:spacing w:after="50"/>
      </w:pPr>
      <w:r>
        <w:t xml:space="preserve">À 70 % de consommation (1 750 €), le Bureau se réunit obligatoirement.</w:t>
      </w:r>
    </w:p>
    <w:p>
      <w:pPr>
        <w:pStyle w:val="ListParagraph"/>
        <w:numPr>
          <w:ilvl w:val="0"/>
          <w:numId w:val="3"/>
        </w:numPr>
        <w:spacing w:after="50"/>
      </w:pPr>
      <w:r>
        <w:t xml:space="preserve">Le fonds ne peut jamais être négatif ; aucune mise à l'abri n'est déclenchée avant l'activation du dispositif par le Conseil.</w:t>
      </w:r>
    </w:p>
    <w:p>
      <w:pPr>
        <w:spacing w:after="100"/>
        <w:jc w:val="both"/>
      </w:pPr>
      <w:r>
        <w:rPr>
          <w:b/>
          <w:bCs/>
        </w:rPr>
        <w:t xml:space="preserve">Vote :</w:t>
      </w:r>
      <w:r>
        <w:t xml:space="preserve"> pour ___ · contre ___ · abstention ___.</w:t>
      </w:r>
    </w:p>
    <w:p>
      <w:pPr>
        <w:pStyle w:val="Heading2"/>
      </w:pPr>
      <w:r>
        <w:t xml:space="preserve">Résolution 7 — Référent données personnelles</w:t>
      </w:r>
    </w:p>
    <w:p>
      <w:pPr>
        <w:spacing w:after="100"/>
        <w:jc w:val="both"/>
      </w:pPr>
      <w:r>
        <w:t xml:space="preserve">Le Trésorier, Tahar BENHALIMA, est désigné référent données personnelles. Il tient le registre des traitements et reçoit les demandes d'exercice des droits à l'adresse contact@education-solidaire.org. </w:t>
      </w:r>
      <w:r>
        <w:rPr>
          <w:b/>
          <w:bCs/>
        </w:rPr>
        <w:t xml:space="preserve">Vote :</w:t>
      </w:r>
      <w:r>
        <w:t xml:space="preserve"> pour ___ · contre ___ · abstention ___.</w:t>
      </w:r>
    </w:p>
    <w:p>
      <w:pPr>
        <w:pStyle w:val="Heading2"/>
      </w:pPr>
      <w:r>
        <w:t xml:space="preserve">Questions diverses</w:t>
      </w:r>
    </w:p>
    <w:p>
      <w:pPr>
        <w:pBdr>
          <w:bottom w:val="single" w:color="D9CCEF" w:sz="4"/>
        </w:pBdr>
        <w:spacing w:before="200"/>
      </w:pPr>
    </w:p>
    <w:p>
      <w:pPr>
        <w:pBdr>
          <w:bottom w:val="single" w:color="D9CCEF" w:sz="4"/>
        </w:pBdr>
        <w:spacing w:before="200"/>
      </w:pPr>
    </w:p>
    <w:p>
      <w:pPr>
        <w:pBdr>
          <w:bottom w:val="single" w:color="D9CCEF" w:sz="4"/>
        </w:pBdr>
        <w:spacing w:before="200"/>
      </w:pPr>
    </w:p>
    <w:p>
      <w:pPr>
        <w:spacing w:after="100"/>
        <w:jc w:val="both"/>
      </w:pPr>
      <w:r>
        <w:t xml:space="preserve">L'ordre du jour étant épuisé, la séance est levée à ___h___.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FFFFFF" w:sz="4"/>
              <w:left w:val="single" w:color="FFFFFF" w:sz="4"/>
              <w:bottom w:val="single" w:color="FFFFFF" w:sz="4"/>
              <w:right w:val="single" w:color="FFFFFF" w:sz="4"/>
            </w:tcBorders>
            <w:tcMar>
              <w:left w:type="dxa" w:w="80"/>
              <w:right w:type="dxa" w:w="80"/>
            </w:tcMar>
          </w:tcPr>
          <w:p>
            <w:pPr>
              <w:spacing w:before="120"/>
            </w:pPr>
            <w:r>
              <w:rPr>
                <w:b/>
                <w:bCs/>
                <w:sz w:val="18"/>
                <w:szCs w:val="18"/>
              </w:rPr>
              <w:t xml:space="preserve">Le Président — Sabri TOUJANI</w:t>
            </w:r>
          </w:p>
          <w:p>
            <w:r>
              <w:rPr>
                <w:color w:val="574A66"/>
                <w:sz w:val="16"/>
                <w:szCs w:val="16"/>
              </w:rPr>
              <w:t xml:space="preserve">Date et signature</w:t>
            </w:r>
          </w:p>
          <w:p>
            <w:pPr>
              <w:pBdr>
                <w:bottom w:val="single" w:color="574A66" w:sz="6"/>
              </w:pBdr>
              <w:spacing w:before="700"/>
            </w:pPr>
          </w:p>
        </w:tc>
        <w:tc>
          <w:tcPr>
            <w:tcW w:type="dxa" w:w="4819"/>
            <w:tcBorders>
              <w:top w:val="single" w:color="FFFFFF" w:sz="4"/>
              <w:left w:val="single" w:color="FFFFFF" w:sz="4"/>
              <w:bottom w:val="single" w:color="FFFFFF" w:sz="4"/>
              <w:right w:val="single" w:color="FFFFFF" w:sz="4"/>
            </w:tcBorders>
            <w:tcMar>
              <w:left w:type="dxa" w:w="80"/>
              <w:right w:type="dxa" w:w="80"/>
            </w:tcMar>
          </w:tcPr>
          <w:p>
            <w:pPr>
              <w:spacing w:before="120"/>
            </w:pPr>
            <w:r>
              <w:rPr>
                <w:b/>
                <w:bCs/>
                <w:sz w:val="18"/>
                <w:szCs w:val="18"/>
              </w:rPr>
              <w:t xml:space="preserve">Le secrétaire de séance — Tahar BENHALIMA</w:t>
            </w:r>
          </w:p>
          <w:p>
            <w:r>
              <w:rPr>
                <w:color w:val="574A66"/>
                <w:sz w:val="16"/>
                <w:szCs w:val="16"/>
              </w:rPr>
              <w:t xml:space="preserve">Date et signature</w:t>
            </w:r>
          </w:p>
          <w:p>
            <w:pPr>
              <w:pBdr>
                <w:bottom w:val="single" w:color="574A66" w:sz="6"/>
              </w:pBdr>
              <w:spacing w:before="700"/>
            </w:pP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CEF" w:sz="4" w:space="4"/>
      </w:pBdr>
      <w:tabs>
        <w:tab w:val="right" w:pos="9638"/>
      </w:tabs>
    </w:pPr>
    <w:r>
      <w:rPr>
        <w:color w:val="574A66"/>
        <w:sz w:val="13"/>
        <w:szCs w:val="13"/>
      </w:rPr>
      <w:t xml:space="preserve">UNISSON — Association Éducation Solidaire · loi 1901 · 45, rue Henri Barbusse, 92230 Gennevilliers · SIREN 108 606 260 · RNA W922023505</w:t>
    </w:r>
    <w:r>
      <w:rPr>
        <w:color w:val="574A66"/>
        <w:sz w:val="13"/>
        <w:szCs w:val="13"/>
      </w:rPr>
      <w:t xml:space="preserve">	p.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74A66"/>
        <w:sz w:val="14"/>
        <w:szCs w:val="14"/>
      </w:rPr>
      <w:t xml:space="preserve">01 · Procès-verbal du Conseil d'Administration n°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40"/>
      </w:pPr>
    </w:lvl>
  </w:abstractNum>
  <w:abstractNum w:abstractNumId="3" w15:restartNumberingAfterBreak="0">
    <w:multiLevelType w:val="hybridMultilevel"/>
    <w:lvl w:ilvl="0" w:tentative="1">
      <w:start w:val="1"/>
      <w:numFmt w:val="decimal"/>
      <w:lvlText w:val="%1."/>
      <w:lvlJc w:val="left"/>
      <w:pPr>
        <w:ind w:left="420" w:hanging="300"/>
      </w:pPr>
    </w:lvl>
  </w:abstractNum>
  <w:num w:numId="1">
    <w:abstractNumId w:val="1"/>
  </w:num>
  <w:num w:numId="2">
    <w:abstractNumId w:val="3"/>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12A"/>
        <w:sz w:val="20"/>
        <w:szCs w:val="20"/>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20"/>
      <w:outlineLvl w:val="0"/>
    </w:pPr>
    <w:rPr>
      <w:rFonts w:ascii="Arial" w:cs="Arial" w:eastAsia="Arial" w:hAnsi="Arial"/>
      <w:b/>
      <w:bCs/>
      <w:color w:val="2A0E45"/>
      <w:sz w:val="28"/>
      <w:szCs w:val="28"/>
    </w:rPr>
  </w:style>
  <w:style w:type="paragraph" w:styleId="Heading2">
    <w:name w:val="Heading 2"/>
    <w:basedOn w:val="Normal"/>
    <w:next w:val="Normal"/>
    <w:qFormat/>
    <w:pPr>
      <w:keepNext/>
      <w:spacing w:after="80" w:before="240"/>
      <w:outlineLvl w:val="1"/>
    </w:pPr>
    <w:rPr>
      <w:rFonts w:ascii="Arial" w:cs="Arial" w:eastAsia="Arial" w:hAnsi="Arial"/>
      <w:b/>
      <w:bCs/>
      <w:color w:val="6D28D9"/>
      <w:sz w:val="23"/>
      <w:szCs w:val="23"/>
    </w:rPr>
  </w:style>
  <w:style w:type="paragraph" w:styleId="Heading3">
    <w:name w:val="Heading 3"/>
    <w:basedOn w:val="Normal"/>
    <w:next w:val="Normal"/>
    <w:qFormat/>
    <w:pPr>
      <w:keepNext/>
      <w:spacing w:after="60" w:before="160"/>
      <w:outlineLvl w:val="2"/>
    </w:pPr>
    <w:rPr>
      <w:rFonts w:ascii="Arial" w:cs="Arial" w:eastAsia="Arial" w:hAnsi="Arial"/>
      <w:b/>
      <w:bCs/>
      <w:color w:val="2A0E45"/>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0064fa99323b2c5cabe8d19bea0bcd522f25e4d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Procès-verbal du Conseil d'Administration n° 1</dc:title>
  <dc:creator>UNISSON — Association Éducation Solidaire</dc:creator>
  <dc:description>Modèle à compléter · Fixation des cotisations, budget, mandats bancaires et assurance, délégation de signature, règle du Fonds de Premier Secours Social</dc:description>
  <cp:lastModifiedBy>Un-named</cp:lastModifiedBy>
  <cp:revision>1</cp:revision>
  <dcterms:created xsi:type="dcterms:W3CDTF">2026-10-12T03:25:13.087Z</dcterms:created>
  <dcterms:modified xsi:type="dcterms:W3CDTF">2026-10-12T03:25:13.087Z</dcterms:modified>
</cp:coreProperties>
</file>

<file path=docProps/custom.xml><?xml version="1.0" encoding="utf-8"?>
<Properties xmlns="http://schemas.openxmlformats.org/officeDocument/2006/custom-properties" xmlns:vt="http://schemas.openxmlformats.org/officeDocument/2006/docPropsVTypes"/>
</file>