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2.8 · ARTICLE 21 DU RÈGLEMENT INTÉRIEUR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Planning mensuel des permanences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Diffusé au plus tard le 20 du mois précédent · Mois de : ______________ 20____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800"/>
        <w:gridCol w:w="1800"/>
        <w:gridCol w:w="1438"/>
      </w:tblGrid>
      <w:tr>
        <w:trPr>
          <w:tblHeader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Semaine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Écoute de journée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Permanence de nuit (urgences)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Accueil physique mercredi 14 h-18 h (2 pers., dont 1 femme)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Accueil physique samedi 9 h-13 h (2 pers., dont 1 femme)</w:t>
            </w: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Dirigeant joignable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1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2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3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4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Semaine 5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4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Règles du planning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Personne ne tient </w:t>
      </w:r>
      <w:r>
        <w:rPr>
          <w:b/>
          <w:bCs/>
        </w:rPr>
        <w:t xml:space="preserve">deux semaines consécutives</w:t>
      </w:r>
      <w:r>
        <w:t xml:space="preserve"> de permanence de nuit.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remplacements sont organisés entre bénévoles et signalés au référent bénévoles.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L'accueil physique se fait toujours à deux, dont au moins une femme.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Aucun horaire n'est imposé : chacun indique ses disponibilités avant le 15 du mois.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horaires publiés (site, messagerie vocale, affichage) sont strictement ceux réellement tenus.</w:t>
      </w:r>
    </w:p>
    <w:p>
      <w:pPr>
        <w:pStyle w:val="Heading2"/>
      </w:pPr>
      <w:r>
        <w:t xml:space="preserve">Remplacements du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Créneau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Remplacé(e)</w:t>
            </w: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Remplaçant(e)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Bureau informé 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15 · Planning mensuel des permanences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mensuel des permanences</dc:title>
  <dc:creator>UNISSON — Association Éducation Solidaire</dc:creator>
  <dc:description>Diffusé au plus tard le 20 du mois précédent · Mois de : ______________ 20____</dc:description>
  <cp:lastModifiedBy>Un-named</cp:lastModifiedBy>
  <cp:revision>1</cp:revision>
  <dcterms:created xsi:type="dcterms:W3CDTF">2026-10-12T03:25:13.522Z</dcterms:created>
  <dcterms:modified xsi:type="dcterms:W3CDTF">2026-10-12T03:25:13.522Z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