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inline distT="0" distB="0" distL="0" distR="0">
            <wp:extent cx="438150" cy="438150"/>
            <wp:effectExtent t="0" r="0" b="0" l="0"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color w:val="2A0E45"/>
          <w:sz w:val="30"/>
          <w:szCs w:val="30"/>
        </w:rPr>
        <w:t xml:space="preserve">   UNISSON</w:t>
      </w:r>
      <w:r>
        <w:rPr>
          <w:b/>
          <w:bCs/>
          <w:color w:val="6D28D9"/>
          <w:spacing w:val="20"/>
          <w:sz w:val="15"/>
          <w:szCs w:val="15"/>
        </w:rPr>
        <w:t xml:space="preserve">   ASSOCIATION ÉDUCATION SOLIDAIRE</w:t>
      </w:r>
    </w:p>
    <w:p>
      <w:pPr>
        <w:spacing w:after="40" w:before="240"/>
      </w:pPr>
      <w:r>
        <w:rPr>
          <w:b/>
          <w:bCs/>
          <w:color w:val="6D28D9"/>
          <w:spacing w:val="30"/>
          <w:sz w:val="16"/>
          <w:szCs w:val="16"/>
        </w:rPr>
        <w:t xml:space="preserve">PHASE 3 · FICHE 3.9</w:t>
      </w:r>
    </w:p>
    <w:p>
      <w:pPr>
        <w:spacing w:after="80"/>
      </w:pPr>
      <w:r>
        <w:rPr>
          <w:b/>
          <w:bCs/>
          <w:color w:val="2A0E45"/>
          <w:sz w:val="40"/>
          <w:szCs w:val="40"/>
        </w:rPr>
        <w:t xml:space="preserve">Procédure de relais et fiche de liaison</w:t>
      </w:r>
    </w:p>
    <w:p>
      <w:pPr>
        <w:pBdr>
          <w:bottom w:val="single" w:color="F4A259" w:sz="18" w:space="6"/>
        </w:pBdr>
        <w:spacing w:after="200"/>
      </w:pPr>
      <w:r>
        <w:rPr>
          <w:color w:val="574A66"/>
          <w:sz w:val="17"/>
          <w:szCs w:val="17"/>
        </w:rPr>
        <w:t xml:space="preserve">Transmission au CCAS de Gennevilliers (ou au service social compétent) dès le premier jour ouvré · Uniquement avec l'accord écrit de la personne</w:t>
      </w:r>
    </w:p>
    <w:p>
      <w:pPr>
        <w:pStyle w:val="Heading2"/>
      </w:pPr>
      <w:r>
        <w:t xml:space="preserve">Procédure de relais proposée au CCAS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UNISSON transmet la fiche de liaison au CCAS </w:t>
      </w:r>
      <w:r>
        <w:rPr>
          <w:b/>
          <w:bCs/>
        </w:rPr>
        <w:t xml:space="preserve">le premier jour ouvré</w:t>
      </w:r>
      <w:r>
        <w:t xml:space="preserve"> suivant toute mise à l'abri, par le canal convenu avec le service (courriel sécurisé ou remise en main propre).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Le CCAS accuse réception et indique, si possible, le travailleur social référent.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UNISSON informe la personne du nom du service et de l'heure de son rendez-vous, et l'y accompagne si nécessaire.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À la sortie du dispositif, UNISSON transmet une fiche de sortie et clôt son intervention.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Un point de coordination trimestriel permet de partager des données d'activité anonymisées.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FF4EA" w:sz="4"/>
              <w:left w:val="single" w:color="F4A259" w:sz="24"/>
              <w:bottom w:val="single" w:color="FFF4EA" w:sz="4"/>
              <w:right w:val="single" w:color="FFF4EA" w:sz="4"/>
            </w:tcBorders>
            <w:shd w:fill="FFF4E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Cette procédure est proposée au CCAS lors du rendez-vous de coordination (document 16). Si une convention de relais n'est pas possible, un échange de courriers actant ces modalités suffit dans un premier temps.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Fiche de liaison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Date de transmission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Référence UNISSON (URG-2026-___)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Destinataire (service, nom du référent)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Émetteur (dirigeant UNISSON, téléphone) : </w:t>
      </w:r>
      <w:r>
        <w:rPr>
          <w:sz w:val="19"/>
          <w:szCs w:val="19"/>
        </w:rPr>
        <w:t xml:space="preserve">	</w:t>
      </w:r>
    </w:p>
    <w:p>
      <w:pPr>
        <w:pStyle w:val="Heading3"/>
      </w:pPr>
      <w:r>
        <w:t xml:space="preserve">Personne concernée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Nom, prénom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Date de naissance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Composition du foyer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Coordonnées pour la joindre : </w:t>
      </w:r>
      <w:r>
        <w:rPr>
          <w:sz w:val="19"/>
          <w:szCs w:val="19"/>
        </w:rPr>
        <w:t xml:space="preserve">	</w:t>
      </w:r>
    </w:p>
    <w:p>
      <w:pPr>
        <w:pStyle w:val="Heading3"/>
      </w:pPr>
      <w:r>
        <w:t xml:space="preserve">Situation (éléments strictement utiles)</w:t>
      </w:r>
    </w:p>
    <w:p>
      <w:pPr>
        <w:pBdr>
          <w:bottom w:val="single" w:color="D9CCEF" w:sz="4"/>
        </w:pBdr>
        <w:spacing w:before="200"/>
      </w:pPr>
    </w:p>
    <w:p>
      <w:pPr>
        <w:pBdr>
          <w:bottom w:val="single" w:color="D9CCEF" w:sz="4"/>
        </w:pBdr>
        <w:spacing w:before="200"/>
      </w:pPr>
    </w:p>
    <w:p>
      <w:pPr>
        <w:pBdr>
          <w:bottom w:val="single" w:color="D9CCEF" w:sz="4"/>
        </w:pBdr>
        <w:spacing w:before="200"/>
      </w:pPr>
    </w:p>
    <w:p>
      <w:pPr>
        <w:pBdr>
          <w:bottom w:val="single" w:color="D9CCEF" w:sz="4"/>
        </w:pBdr>
        <w:spacing w:before="200"/>
      </w:pPr>
    </w:p>
    <w:p>
      <w:pPr>
        <w:pStyle w:val="Heading3"/>
      </w:pPr>
      <w:r>
        <w:t xml:space="preserve">Mesures prises par UNISSON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Mise à l'abri du ___/___ au ___/___ — établissement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Appels au 115 (dates, heures, réponses)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Autres orientations : </w:t>
      </w:r>
      <w:r>
        <w:rPr>
          <w:sz w:val="19"/>
          <w:szCs w:val="19"/>
        </w:rPr>
        <w:t xml:space="preserve">	</w:t>
      </w:r>
    </w:p>
    <w:p>
      <w:pPr>
        <w:pStyle w:val="Heading3"/>
      </w:pPr>
      <w:r>
        <w:t xml:space="preserve">Demande au service</w:t>
      </w:r>
    </w:p>
    <w:p>
      <w:pPr>
        <w:pBdr>
          <w:bottom w:val="single" w:color="D9CCEF" w:sz="4"/>
        </w:pBdr>
        <w:spacing w:before="200"/>
      </w:pPr>
    </w:p>
    <w:p>
      <w:pPr>
        <w:pBdr>
          <w:bottom w:val="single" w:color="D9CCEF" w:sz="4"/>
        </w:pBdr>
        <w:spacing w:before="200"/>
      </w:pPr>
    </w:p>
    <w:p>
      <w:pPr>
        <w:pBdr>
          <w:bottom w:val="single" w:color="D9CCEF" w:sz="4"/>
        </w:pBdr>
        <w:spacing w:before="200"/>
      </w:pPr>
    </w:p>
    <w:p>
      <w:pPr>
        <w:pStyle w:val="Heading3"/>
      </w:pPr>
      <w:r>
        <w:t xml:space="preserve">Consentement</w:t>
      </w:r>
    </w:p>
    <w:p>
      <w:pPr>
        <w:spacing w:after="100"/>
        <w:jc w:val="both"/>
      </w:pPr>
      <w:r>
        <w:t xml:space="preserve">La personne a consenti par écrit à la transmission de ces informations le ___/___/2026 (fiche d'intervention, partie 4).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left w:type="dxa" w:w="80"/>
              <w:right w:type="dxa" w:w="80"/>
            </w:tcMar>
          </w:tcPr>
          <w:p>
            <w:pPr>
              <w:spacing w:before="120"/>
            </w:pPr>
            <w:r>
              <w:rPr>
                <w:b/>
                <w:bCs/>
                <w:sz w:val="18"/>
                <w:szCs w:val="18"/>
              </w:rPr>
              <w:t xml:space="preserve">Pour UNISSON</w:t>
            </w:r>
          </w:p>
          <w:p>
            <w:r>
              <w:rPr>
                <w:color w:val="574A66"/>
                <w:sz w:val="16"/>
                <w:szCs w:val="16"/>
              </w:rPr>
              <w:t xml:space="preserve">Date et signature</w:t>
            </w:r>
          </w:p>
          <w:p>
            <w:pPr>
              <w:pBdr>
                <w:bottom w:val="single" w:color="574A66" w:sz="6"/>
              </w:pBdr>
              <w:spacing w:before="700"/>
            </w:pPr>
          </w:p>
        </w:tc>
        <w:tc>
          <w:tcPr>
            <w:tcW w:type="dxa" w:w="481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left w:type="dxa" w:w="80"/>
              <w:right w:type="dxa" w:w="80"/>
            </w:tcMar>
          </w:tcPr>
          <w:p>
            <w:pPr>
              <w:spacing w:before="120"/>
            </w:pPr>
            <w:r>
              <w:rPr>
                <w:b/>
                <w:bCs/>
                <w:sz w:val="18"/>
                <w:szCs w:val="18"/>
              </w:rPr>
              <w:t xml:space="preserve">Accusé de réception du service</w:t>
            </w:r>
          </w:p>
          <w:p>
            <w:r>
              <w:rPr>
                <w:color w:val="574A66"/>
                <w:sz w:val="16"/>
                <w:szCs w:val="16"/>
              </w:rPr>
              <w:t xml:space="preserve">Date et signature</w:t>
            </w:r>
          </w:p>
          <w:p>
            <w:pPr>
              <w:pBdr>
                <w:bottom w:val="single" w:color="574A66" w:sz="6"/>
              </w:pBdr>
              <w:spacing w:before="700"/>
            </w:pP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CEF" w:sz="4" w:space="4"/>
      </w:pBdr>
      <w:tabs>
        <w:tab w:val="right" w:pos="9638"/>
      </w:tabs>
    </w:pPr>
    <w:r>
      <w:rPr>
        <w:color w:val="574A66"/>
        <w:sz w:val="13"/>
        <w:szCs w:val="13"/>
      </w:rPr>
      <w:t xml:space="preserve">UNISSON — Association Éducation Solidaire · loi 1901 · 45, rue Henri Barbusse, 92230 Gennevilliers · SIREN 108 606 260 · RNA W922023505</w:t>
    </w:r>
    <w:r>
      <w:rPr>
        <w:color w:val="574A66"/>
        <w:sz w:val="13"/>
        <w:szCs w:val="13"/>
      </w:rPr>
      <w:t xml:space="preserve">	p.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74A66"/>
        <w:sz w:val="14"/>
        <w:szCs w:val="14"/>
      </w:rPr>
      <w:t xml:space="preserve">22 · Procédure de relais et fiche de liaison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</w:num>
  <w:num w:numId="2">
    <w:abstractNumId w:val="3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12A"/>
        <w:sz w:val="20"/>
        <w:szCs w:val="20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Arial" w:cs="Arial" w:eastAsia="Arial" w:hAnsi="Arial"/>
      <w:b/>
      <w:bCs/>
      <w:color w:val="2A0E45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240"/>
      <w:outlineLvl w:val="1"/>
    </w:pPr>
    <w:rPr>
      <w:rFonts w:ascii="Arial" w:cs="Arial" w:eastAsia="Arial" w:hAnsi="Arial"/>
      <w:b/>
      <w:bCs/>
      <w:color w:val="6D28D9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Arial" w:cs="Arial" w:eastAsia="Arial" w:hAnsi="Arial"/>
      <w:b/>
      <w:bCs/>
      <w:color w:val="2A0E45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0064fa99323b2c5cabe8d19bea0bcd522f25e4d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Procédure de relais et fiche de liaison</dc:title>
  <dc:creator>UNISSON — Association Éducation Solidaire</dc:creator>
  <dc:description>Transmission au CCAS de Gennevilliers (ou au service social compétent) dès le premier jour ouvré · Uniquement avec l'accord écrit de la personne</dc:description>
  <cp:lastModifiedBy>Un-named</cp:lastModifiedBy>
  <cp:revision>1</cp:revision>
  <dcterms:created xsi:type="dcterms:W3CDTF">2026-10-12T03:25:13.736Z</dcterms:created>
  <dcterms:modified xsi:type="dcterms:W3CDTF">2026-10-12T03:25:13.736Z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