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4F0D70"/>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2 · FICHE 2.1 · ARTICLE 18 DES STATUTS</w:t>
      </w:r>
    </w:p>
    <w:p>
      <w:pPr>
        <w:spacing w:after="80"/>
      </w:pPr>
      <w:r>
        <w:rPr>
          <w:b/>
          <w:bCs/>
          <w:color w:val="4F0D70"/>
          <w:sz w:val="40"/>
          <w:szCs w:val="40"/>
        </w:rPr>
        <w:t xml:space="preserve">Règlement intérieur</w:t>
      </w:r>
    </w:p>
    <w:p>
      <w:pPr>
        <w:pBdr>
          <w:bottom w:val="single" w:color="F4A259" w:sz="18" w:space="6"/>
        </w:pBdr>
        <w:spacing w:after="200"/>
      </w:pPr>
      <w:r>
        <w:rPr>
          <w:color w:val="574A66"/>
          <w:sz w:val="17"/>
          <w:szCs w:val="17"/>
        </w:rPr>
        <w:t xml:space="preserve">Projet établi par le Conseil d'Administration le ___/___/2026 · Approuvé par l'Assemblée Générale Ordinaire du ___/___/20___ · Version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b/>
                <w:bCs/>
                <w:sz w:val="18"/>
                <w:szCs w:val="18"/>
              </w:rPr>
              <w:t xml:space="preserve">Note de rédaction — à supprimer avant adoption.</w:t>
            </w:r>
            <w:r>
              <w:rPr>
                <w:sz w:val="18"/>
                <w:szCs w:val="18"/>
              </w:rPr>
              <w:t xml:space="preserve"> Ce projet s'appuie sur les articles des statuts cités dans la feuille de route (art. 3, 7, 9, 10, 11, 12, 13, 14, 15 bis, 16, 17, 18). Avant le vote, le Bureau vérifie chaque renvoi sur l'exemplaire signé des statuts : en cas de contradiction, les statuts prévalent toujours sur le règlement intérieur.</w:t>
            </w:r>
          </w:p>
          <w:p>
            <w:pPr>
              <w:spacing w:after="40" w:before="40"/>
            </w:pPr>
            <w:r>
              <w:rPr>
                <w:sz w:val="18"/>
                <w:szCs w:val="18"/>
              </w:rPr>
              <w:t xml:space="preserve">Les passages juridiques sensibles (radiation, casier judiciaire, protection de l'enfance, données de santé) gagnent à être relus par un juriste associatif ou la Maison des associations avant adoption. Ce document constitue un cadre de gestion, pas un avis juridique.</w:t>
            </w:r>
          </w:p>
        </w:tc>
      </w:tr>
    </w:tbl>
    <w:p>
      <w:pPr>
        <w:spacing w:after="60"/>
      </w:pPr>
    </w:p>
    <w:p>
      <w:pPr>
        <w:pStyle w:val="Heading1"/>
      </w:pPr>
      <w:r>
        <w:t xml:space="preserve">Préambule</w:t>
      </w:r>
    </w:p>
    <w:p>
      <w:pPr>
        <w:spacing w:after="100"/>
        <w:jc w:val="both"/>
      </w:pPr>
      <w:r>
        <w:t xml:space="preserve">Le présent règlement intérieur est établi en application de l'article 18 des statuts de l'association </w:t>
      </w:r>
      <w:r>
        <w:rPr>
          <w:b/>
          <w:bCs/>
        </w:rPr>
        <w:t xml:space="preserve">EDUCATION SOLIDAIRE</w:t>
      </w:r>
      <w:r>
        <w:t xml:space="preserve">, dite </w:t>
      </w:r>
      <w:r>
        <w:rPr>
          <w:b/>
          <w:bCs/>
        </w:rPr>
        <w:t xml:space="preserve">UNISSON — Association Éducation Solidaire</w:t>
      </w:r>
      <w:r>
        <w:t xml:space="preserve">, association régie par la loi du 1er juillet 1901, déclarée sous le numéro RNA W922023505 et immatriculée sous le SIREN 108 606 260, dont le siège est situé au 45, rue Henri Barbusse, 92230 Gennevilliers.</w:t>
      </w:r>
    </w:p>
    <w:p>
      <w:pPr>
        <w:spacing w:after="100"/>
        <w:jc w:val="both"/>
      </w:pPr>
      <w:r>
        <w:t xml:space="preserve">Il précise les modalités de fonctionnement de l'association que les statuts ne détaillent pas. Il ne peut ni les contredire ni les modifier ; en cas de divergence, les statuts s'appliquent. Il s'impose à tous les membres, aux bénévoles, aux dirigeants et, pour la partie qui les concerne (Titre V), aux personnes accueillies par l'association.</w:t>
      </w:r>
    </w:p>
    <w:p>
      <w:pPr>
        <w:spacing w:after="100"/>
        <w:jc w:val="both"/>
      </w:pPr>
      <w:r>
        <w:t xml:space="preserve">UNISSON agit dans le respect de la dignité des personnes, sans jugement ni misérabilisme. Elle se veut un </w:t>
      </w:r>
      <w:r>
        <w:rPr>
          <w:b/>
          <w:bCs/>
        </w:rPr>
        <w:t xml:space="preserve">premier répondant de proximité</w:t>
      </w:r>
      <w:r>
        <w:t xml:space="preserve"> : elle écoute, met en sécurité et oriente, mais ne se substitue jamais durablement aux services publics compétents (115, SIAO, Aide sociale à l'enfance, CCAS, forces de l'ordre, services de santé).</w:t>
      </w:r>
    </w:p>
    <w:p>
      <w:pPr>
        <w:pStyle w:val="Heading1"/>
      </w:pPr>
      <w:r>
        <w:t xml:space="preserve">Titre I — Les membres</w:t>
      </w:r>
    </w:p>
    <w:p>
      <w:pPr>
        <w:pStyle w:val="Heading2"/>
      </w:pPr>
      <w:r>
        <w:t xml:space="preserve">Article 1 — Catégories de membres</w:t>
      </w:r>
    </w:p>
    <w:p>
      <w:pPr>
        <w:spacing w:after="100"/>
        <w:jc w:val="both"/>
      </w:pPr>
      <w:r>
        <w:t xml:space="preserve">L'association se compose :</w:t>
      </w:r>
    </w:p>
    <w:p>
      <w:pPr>
        <w:pStyle w:val="ListParagraph"/>
        <w:numPr>
          <w:ilvl w:val="0"/>
          <w:numId w:val="2"/>
        </w:numPr>
        <w:spacing w:after="50"/>
      </w:pPr>
      <w:r>
        <w:rPr>
          <w:b/>
          <w:bCs/>
        </w:rPr>
        <w:t xml:space="preserve">des membres fondateurs</w:t>
      </w:r>
      <w:r>
        <w:t xml:space="preserve">, membres de droit et à vie : Monsieur Sabri TOUJANI et Monsieur Tahar BENHALIMA ;</w:t>
      </w:r>
    </w:p>
    <w:p>
      <w:pPr>
        <w:pStyle w:val="ListParagraph"/>
        <w:numPr>
          <w:ilvl w:val="0"/>
          <w:numId w:val="2"/>
        </w:numPr>
        <w:spacing w:after="50"/>
      </w:pPr>
      <w:r>
        <w:rPr>
          <w:b/>
          <w:bCs/>
        </w:rPr>
        <w:t xml:space="preserve">des membres adhérents</w:t>
      </w:r>
      <w:r>
        <w:t xml:space="preserve">, personnes physiques à jour de leur cotisation annuelle, selon l'une des formules fixées chaque année par le Conseil d'Administration (article 7 des statuts) ;</w:t>
      </w:r>
    </w:p>
    <w:p>
      <w:pPr>
        <w:pStyle w:val="ListParagraph"/>
        <w:numPr>
          <w:ilvl w:val="0"/>
          <w:numId w:val="2"/>
        </w:numPr>
        <w:spacing w:after="50"/>
      </w:pPr>
      <w:r>
        <w:rPr>
          <w:b/>
          <w:bCs/>
        </w:rPr>
        <w:t xml:space="preserve">des membres bienfaiteurs</w:t>
      </w:r>
      <w:r>
        <w:t xml:space="preserve">, personnes physiques ou morales qui versent une cotisation de soutien d'un montant supérieur, fixé par le Conseil d'Administration.</w:t>
      </w:r>
    </w:p>
    <w:p>
      <w:pPr>
        <w:spacing w:after="100"/>
        <w:jc w:val="both"/>
      </w:pPr>
      <w:r>
        <w:t xml:space="preserve">À titre indicatif, la grille en vigueur à la date d'adoption du présent règlement est la suivante. Elle n'a de valeur que si elle a été votée par le Conseil d'Administration et consignée au procès-verbal.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138"/>
      </w:tblGrid>
      <w:tr>
        <w:trPr>
          <w:tblHeader/>
        </w:trPr>
        <w:tc>
          <w:tcPr>
            <w:tcW w:type="dxa" w:w="26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Formule</w:t>
            </w:r>
          </w:p>
        </w:tc>
        <w:tc>
          <w:tcPr>
            <w:tcW w:type="dxa" w:w="19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Montant annuel</w:t>
            </w:r>
          </w:p>
        </w:tc>
        <w:tc>
          <w:tcPr>
            <w:tcW w:type="dxa" w:w="5138"/>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Public concerné</w:t>
            </w:r>
          </w:p>
        </w:tc>
      </w:tr>
      <w:tr>
        <w:trPr>
          <w:cantSplit/>
        </w:trPr>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Cotisation Solidaire</w:t>
            </w:r>
          </w:p>
        </w:tc>
        <w:tc>
          <w:tcPr>
            <w:tcW w:type="dxa" w:w="19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Familles à faibles ressources, demandeurs d'emploi, étudiants, jeunes</w:t>
            </w:r>
          </w:p>
        </w:tc>
      </w:tr>
      <w:tr>
        <w:trPr>
          <w:cantSplit/>
        </w:trPr>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Bénévole Actif</w:t>
            </w:r>
          </w:p>
        </w:tc>
        <w:tc>
          <w:tcPr>
            <w:tcW w:type="dxa" w:w="19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10 €</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Membres engagés dans les missions de l'association</w:t>
            </w:r>
          </w:p>
        </w:tc>
      </w:tr>
      <w:tr>
        <w:trPr>
          <w:cantSplit/>
        </w:trPr>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Pass Famille / Duo</w:t>
            </w:r>
          </w:p>
        </w:tc>
        <w:tc>
          <w:tcPr>
            <w:tcW w:type="dxa" w:w="19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25 €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Foyer complet (adhésion couvrant les membres du foyer)</w:t>
            </w:r>
          </w:p>
        </w:tc>
      </w:tr>
      <w:tr>
        <w:trPr>
          <w:cantSplit/>
        </w:trPr>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 Bienfaiteur</w:t>
            </w:r>
          </w:p>
        </w:tc>
        <w:tc>
          <w:tcPr>
            <w:tcW w:type="dxa" w:w="19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50 € ou plus</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Donateurs, professionnels, partenaires</w:t>
            </w:r>
          </w:p>
        </w:tc>
      </w:tr>
    </w:tbl>
    <w:p>
      <w:pPr>
        <w:spacing w:after="60"/>
      </w:pPr>
    </w:p>
    <w:p>
      <w:pPr>
        <w:pStyle w:val="Heading2"/>
      </w:pPr>
      <w:r>
        <w:t xml:space="preserve">Article 2 — Admission</w:t>
      </w:r>
    </w:p>
    <w:p>
      <w:pPr>
        <w:spacing w:after="100"/>
        <w:jc w:val="both"/>
      </w:pPr>
      <w:r>
        <w:t xml:space="preserve">Toute personne qui souhaite adhérer remplit un bulletin d'adhésion, en ligne (plateforme HelloAsso) ou sur papier, et acquitte sa cotisation. Par l'adhésion, elle déclare avoir pris connaissance des statuts et du présent règlement et s'engage à les respecter.</w:t>
      </w:r>
    </w:p>
    <w:p>
      <w:pPr>
        <w:spacing w:after="100"/>
        <w:jc w:val="both"/>
      </w:pPr>
      <w:r>
        <w:t xml:space="preserve">Conformément à l'article 9 des statuts, le Conseil d'Administration statue sur les admissions. Il peut déléguer l'examen courant des demandes au Bureau, qui lui en rend compte à la réunion suivante. Un refus d'admission est notifié par écrit à l'intéressé ; la cotisation éventuellement versée lui est alors remboursée.</w:t>
      </w:r>
    </w:p>
    <w:p>
      <w:pPr>
        <w:spacing w:after="100"/>
        <w:jc w:val="both"/>
      </w:pPr>
      <w:r>
        <w:t xml:space="preserve">Les mineurs peuvent participer aux activités au titre du Pass Famille souscrit par leur représentant légal. Seuls les membres majeurs à jour de cotisation disposent du droit de vote en Assemblée Générale.</w:t>
      </w:r>
    </w:p>
    <w:p>
      <w:pPr>
        <w:pStyle w:val="Heading2"/>
      </w:pPr>
      <w:r>
        <w:t xml:space="preserve">Article 3 — Cotisation</w:t>
      </w:r>
    </w:p>
    <w:p>
      <w:pPr>
        <w:pStyle w:val="ListParagraph"/>
        <w:numPr>
          <w:ilvl w:val="0"/>
          <w:numId w:val="2"/>
        </w:numPr>
        <w:spacing w:after="50"/>
      </w:pPr>
      <w:r>
        <w:t xml:space="preserve">La cotisation est due pour l'année civile. Une adhésion souscrite après le 1er octobre est valable jusqu'au 31 décembre de l'année suivante.</w:t>
      </w:r>
    </w:p>
    <w:p>
      <w:pPr>
        <w:pStyle w:val="ListParagraph"/>
        <w:numPr>
          <w:ilvl w:val="0"/>
          <w:numId w:val="2"/>
        </w:numPr>
        <w:spacing w:after="50"/>
      </w:pPr>
      <w:r>
        <w:t xml:space="preserve">La cotisation est définitivement acquise à l'association ; elle n'est pas remboursable en cours d'année, sauf refus d'admission.</w:t>
      </w:r>
    </w:p>
    <w:p>
      <w:pPr>
        <w:pStyle w:val="ListParagraph"/>
        <w:numPr>
          <w:ilvl w:val="0"/>
          <w:numId w:val="2"/>
        </w:numPr>
        <w:spacing w:after="50"/>
      </w:pPr>
      <w:r>
        <w:t xml:space="preserve">La cotisation, qui ouvre droit à des services, </w:t>
      </w:r>
      <w:r>
        <w:rPr>
          <w:b/>
          <w:bCs/>
        </w:rPr>
        <w:t xml:space="preserve">n'ouvre pas droit au reçu fiscal</w:t>
      </w:r>
      <w:r>
        <w:t xml:space="preserve">. Seul un don sans contrepartie, versé en plus de la cotisation, donne lieu à un reçu fiscal (Cerfa n° 11580).</w:t>
      </w:r>
    </w:p>
    <w:p>
      <w:pPr>
        <w:pStyle w:val="ListParagraph"/>
        <w:numPr>
          <w:ilvl w:val="0"/>
          <w:numId w:val="2"/>
        </w:numPr>
        <w:spacing w:after="50"/>
      </w:pPr>
      <w:r>
        <w:t xml:space="preserve">Aucune personne ne peut être privée de l'accueil, de l'écoute ou de l'orientation au motif qu'elle n'est pas adhérente ou qu'elle ne peut pas payer de cotisation.</w:t>
      </w:r>
    </w:p>
    <w:p>
      <w:pPr>
        <w:pStyle w:val="Heading2"/>
      </w:pPr>
      <w:r>
        <w:t xml:space="preserve">Article 4 — Droits et devoirs des membres</w:t>
      </w:r>
    </w:p>
    <w:p>
      <w:pPr>
        <w:spacing w:after="100"/>
        <w:jc w:val="both"/>
      </w:pPr>
      <w:r>
        <w:t xml:space="preserve">Chaque membre dispose d'une voix en Assemblée Générale (« 1 membre = 1 voix », article 14 des statuts), peut être candidat au Conseil d'Administration s'il est majeur et à jour de cotisation, et reçoit l'information sur la vie de l'association (rapport moral, rapport financier, convocations).</w:t>
      </w:r>
    </w:p>
    <w:p>
      <w:pPr>
        <w:spacing w:after="100"/>
        <w:jc w:val="both"/>
      </w:pPr>
      <w:r>
        <w:t xml:space="preserve">Chaque membre s'engage à respecter les statuts, le présent règlement, les personnes accueillies, les autres membres et l'image de l'association. Nul ne peut s'exprimer au nom de l'association, ni engager de dépense pour son compte, sans mandat écrit du Président.</w:t>
      </w:r>
    </w:p>
    <w:p>
      <w:pPr>
        <w:pStyle w:val="Heading2"/>
      </w:pPr>
      <w:r>
        <w:t xml:space="preserve">Article 5 — Perte de la qualité de membre</w:t>
      </w:r>
    </w:p>
    <w:p>
      <w:pPr>
        <w:spacing w:after="100"/>
        <w:jc w:val="both"/>
      </w:pPr>
      <w:r>
        <w:t xml:space="preserve">La qualité de membre se perd par :</w:t>
      </w:r>
    </w:p>
    <w:p>
      <w:pPr>
        <w:pStyle w:val="ListParagraph"/>
        <w:numPr>
          <w:ilvl w:val="0"/>
          <w:numId w:val="3"/>
        </w:numPr>
        <w:spacing w:after="50"/>
      </w:pPr>
      <w:r>
        <w:rPr>
          <w:b/>
          <w:bCs/>
        </w:rPr>
        <w:t xml:space="preserve">la démission</w:t>
      </w:r>
      <w:r>
        <w:t xml:space="preserve">, adressée par écrit (courrier ou courriel) au Président ;</w:t>
      </w:r>
    </w:p>
    <w:p>
      <w:pPr>
        <w:pStyle w:val="ListParagraph"/>
        <w:numPr>
          <w:ilvl w:val="0"/>
          <w:numId w:val="3"/>
        </w:numPr>
        <w:spacing w:after="50"/>
      </w:pPr>
      <w:r>
        <w:rPr>
          <w:b/>
          <w:bCs/>
        </w:rPr>
        <w:t xml:space="preserve">le non-paiement de la cotisation</w:t>
      </w:r>
      <w:r>
        <w:t xml:space="preserve">, constaté par le Trésorier après une relance écrite restée sans effet pendant trois mois ;</w:t>
      </w:r>
    </w:p>
    <w:p>
      <w:pPr>
        <w:pStyle w:val="ListParagraph"/>
        <w:numPr>
          <w:ilvl w:val="0"/>
          <w:numId w:val="3"/>
        </w:numPr>
        <w:spacing w:after="50"/>
      </w:pPr>
      <w:r>
        <w:rPr>
          <w:b/>
          <w:bCs/>
        </w:rPr>
        <w:t xml:space="preserve">la radiation pour motif grave</w:t>
      </w:r>
      <w:r>
        <w:t xml:space="preserve">, prononcée par le Conseil d'Administration selon la procédure de l'article 6 ;</w:t>
      </w:r>
    </w:p>
    <w:p>
      <w:pPr>
        <w:pStyle w:val="ListParagraph"/>
        <w:numPr>
          <w:ilvl w:val="0"/>
          <w:numId w:val="3"/>
        </w:numPr>
        <w:spacing w:after="50"/>
      </w:pPr>
      <w:r>
        <w:rPr>
          <w:b/>
          <w:bCs/>
        </w:rPr>
        <w:t xml:space="preserve">le décès</w:t>
      </w:r>
      <w:r>
        <w:t xml:space="preserve"> de la personne physique ou la dissolution de la personne morale.</w:t>
      </w:r>
    </w:p>
    <w:p>
      <w:pPr>
        <w:pStyle w:val="Heading2"/>
      </w:pPr>
      <w:r>
        <w:t xml:space="preserve">Article 6 — Procédure de radiation et mesures conservatoires</w:t>
      </w:r>
    </w:p>
    <w:p>
      <w:pPr>
        <w:spacing w:after="100"/>
        <w:jc w:val="both"/>
      </w:pPr>
      <w:r>
        <w:t xml:space="preserve">Constituent notamment un motif grave : un manquement aux règles de sécurité ou de confidentialité, des violences ou propos discriminatoires, l'utilisation du nom de l'association à des fins personnelles, politiques ou commerciales, un comportement portant atteinte aux personnes accueillies ou un préjudice matériel ou moral causé à l'association.</w:t>
      </w:r>
    </w:p>
    <w:p>
      <w:pPr>
        <w:pStyle w:val="ListParagraph"/>
        <w:numPr>
          <w:ilvl w:val="0"/>
          <w:numId w:val="4"/>
        </w:numPr>
        <w:spacing w:after="50"/>
      </w:pPr>
      <w:r>
        <w:t xml:space="preserve">Le membre concerné est informé par écrit, au moins quinze jours à l'avance, des faits qui lui sont reprochés et de la date à laquelle le Conseil d'Administration examinera sa situation.</w:t>
      </w:r>
    </w:p>
    <w:p>
      <w:pPr>
        <w:pStyle w:val="ListParagraph"/>
        <w:numPr>
          <w:ilvl w:val="0"/>
          <w:numId w:val="4"/>
        </w:numPr>
        <w:spacing w:after="50"/>
      </w:pPr>
      <w:r>
        <w:t xml:space="preserve">Il peut présenter ses observations par écrit ou oralement devant le Conseil, en se faisant assister d'un membre de l'association de son choix.</w:t>
      </w:r>
    </w:p>
    <w:p>
      <w:pPr>
        <w:pStyle w:val="ListParagraph"/>
        <w:numPr>
          <w:ilvl w:val="0"/>
          <w:numId w:val="4"/>
        </w:numPr>
        <w:spacing w:after="50"/>
      </w:pPr>
      <w:r>
        <w:t xml:space="preserve">Le Conseil statue hors de sa présence ; la décision motivée lui est notifiée par écrit dans les huit jours.</w:t>
      </w:r>
    </w:p>
    <w:p>
      <w:pPr>
        <w:pStyle w:val="ListParagraph"/>
        <w:numPr>
          <w:ilvl w:val="0"/>
          <w:numId w:val="4"/>
        </w:numPr>
        <w:spacing w:after="50"/>
      </w:pPr>
      <w:r>
        <w:t xml:space="preserve">En cas d'urgence liée à la sécurité des personnes, le Bureau peut </w:t>
      </w:r>
      <w:r>
        <w:rPr>
          <w:b/>
          <w:bCs/>
        </w:rPr>
        <w:t xml:space="preserve">suspendre à titre conservatoire</w:t>
      </w:r>
      <w:r>
        <w:t xml:space="preserve"> un membre ou un bénévole de toute mission, dans l'attente de la décision du Conseil, qui se réunit dans le mois.</w:t>
      </w:r>
    </w:p>
    <w:p>
      <w:pPr>
        <w:pStyle w:val="Heading1"/>
      </w:pPr>
      <w:r>
        <w:t xml:space="preserve">Titre II — Les instances</w:t>
      </w:r>
    </w:p>
    <w:p>
      <w:pPr>
        <w:pStyle w:val="Heading2"/>
      </w:pPr>
      <w:r>
        <w:t xml:space="preserve">Article 7 — Le Conseil d'Administration</w:t>
      </w:r>
    </w:p>
    <w:p>
      <w:pPr>
        <w:pStyle w:val="ListParagraph"/>
        <w:numPr>
          <w:ilvl w:val="0"/>
          <w:numId w:val="2"/>
        </w:numPr>
        <w:spacing w:after="50"/>
      </w:pPr>
      <w:r>
        <w:rPr>
          <w:b/>
          <w:bCs/>
        </w:rPr>
        <w:t xml:space="preserve">Composition.</w:t>
      </w:r>
      <w:r>
        <w:t xml:space="preserve"> Le Conseil comprend les membres fondateurs et les administrateurs élus par l'Assemblée Générale. L'association vise un Conseil de cinq membres au moins, pour garantir une gouvernance réellement collégiale.</w:t>
      </w:r>
    </w:p>
    <w:p>
      <w:pPr>
        <w:pStyle w:val="ListParagraph"/>
        <w:numPr>
          <w:ilvl w:val="0"/>
          <w:numId w:val="2"/>
        </w:numPr>
        <w:spacing w:after="50"/>
      </w:pPr>
      <w:r>
        <w:rPr>
          <w:b/>
          <w:bCs/>
        </w:rPr>
        <w:t xml:space="preserve">Réunions.</w:t>
      </w:r>
      <w:r>
        <w:t xml:space="preserve"> Le Conseil se réunit au moins une fois par trimestre et chaque fois que le Président ou la moitié de ses membres le demande.</w:t>
      </w:r>
    </w:p>
    <w:p>
      <w:pPr>
        <w:pStyle w:val="ListParagraph"/>
        <w:numPr>
          <w:ilvl w:val="0"/>
          <w:numId w:val="2"/>
        </w:numPr>
        <w:spacing w:after="50"/>
      </w:pPr>
      <w:r>
        <w:rPr>
          <w:b/>
          <w:bCs/>
        </w:rPr>
        <w:t xml:space="preserve">Convocation.</w:t>
      </w:r>
      <w:r>
        <w:t xml:space="preserve"> Par écrit ou par courriel, au moins sept jours à l'avance, avec l'ordre du jour (article 12 des statuts). Une question absente de l'ordre du jour ne peut faire l'objet d'une décision.</w:t>
      </w:r>
    </w:p>
    <w:p>
      <w:pPr>
        <w:pStyle w:val="ListParagraph"/>
        <w:numPr>
          <w:ilvl w:val="0"/>
          <w:numId w:val="2"/>
        </w:numPr>
        <w:spacing w:after="50"/>
      </w:pPr>
      <w:r>
        <w:rPr>
          <w:b/>
          <w:bCs/>
        </w:rPr>
        <w:t xml:space="preserve">Quorum.</w:t>
      </w:r>
      <w:r>
        <w:t xml:space="preserve"> Le Conseil délibère valablement si la moitié au moins de ses membres est présente.</w:t>
      </w:r>
    </w:p>
    <w:p>
      <w:pPr>
        <w:pStyle w:val="ListParagraph"/>
        <w:numPr>
          <w:ilvl w:val="0"/>
          <w:numId w:val="2"/>
        </w:numPr>
        <w:spacing w:after="50"/>
      </w:pPr>
      <w:r>
        <w:rPr>
          <w:b/>
          <w:bCs/>
        </w:rPr>
        <w:t xml:space="preserve">Majorité.</w:t>
      </w:r>
      <w:r>
        <w:t xml:space="preserve"> Les décisions sont prises à la majorité absolue des membres présents ; en cas d'égalité, la voix du Président est prépondérante.</w:t>
      </w:r>
    </w:p>
    <w:p>
      <w:pPr>
        <w:pStyle w:val="ListParagraph"/>
        <w:numPr>
          <w:ilvl w:val="0"/>
          <w:numId w:val="2"/>
        </w:numPr>
        <w:spacing w:after="50"/>
      </w:pPr>
      <w:r>
        <w:rPr>
          <w:b/>
          <w:bCs/>
        </w:rPr>
        <w:t xml:space="preserve">Réunion à distance.</w:t>
      </w:r>
      <w:r>
        <w:t xml:space="preserve"> Sous réserve que les statuts ne s'y opposent pas, un administrateur peut participer par visioconférence ; il est alors réputé présent pour le calcul du quorum et de la majorité.</w:t>
      </w:r>
    </w:p>
    <w:p>
      <w:pPr>
        <w:pStyle w:val="ListParagraph"/>
        <w:numPr>
          <w:ilvl w:val="0"/>
          <w:numId w:val="2"/>
        </w:numPr>
        <w:spacing w:after="50"/>
      </w:pPr>
      <w:r>
        <w:rPr>
          <w:b/>
          <w:bCs/>
        </w:rPr>
        <w:t xml:space="preserve">Procès-verbaux.</w:t>
      </w:r>
      <w:r>
        <w:t xml:space="preserve"> Chaque séance donne lieu à un procès-verbal signé du Président et du secrétaire de séance, numéroté et conservé au registre des procès-verbaux.</w:t>
      </w:r>
    </w:p>
    <w:p>
      <w:pPr>
        <w:spacing w:after="100"/>
        <w:jc w:val="both"/>
      </w:pPr>
      <w:r>
        <w:t xml:space="preserve">Le Conseil exerce les attributions prévues à l'article 9 des statuts : administration générale, admissions et radiations, fixation des cotisations, élection du Bureau, établissement du règlement intérieur, adoption du budget et des protocoles d'intervention.</w:t>
      </w:r>
    </w:p>
    <w:p>
      <w:pPr>
        <w:pStyle w:val="Heading2"/>
      </w:pPr>
      <w:r>
        <w:t xml:space="preserve">Article 8 — Le Bureau</w:t>
      </w:r>
    </w:p>
    <w:p>
      <w:pPr>
        <w:spacing w:after="100"/>
        <w:jc w:val="both"/>
      </w:pPr>
      <w:r>
        <w:t xml:space="preserve">Le Bureau comprend au minimum un Président et un Trésorier, ces deux fonctions n'étant pas cumulables (article 10 des statuts). Tant qu'aucun Secrétaire distinct n'a été désigné, les fonctions de secrétariat sont assurées par le Trésorier.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Fonction</w:t>
            </w:r>
          </w:p>
        </w:tc>
        <w:tc>
          <w:tcPr>
            <w:tcW w:type="dxa" w:w="7838"/>
            <w:tcBorders>
              <w:top w:val="single" w:color="D9CCEF" w:sz="4"/>
              <w:left w:val="single" w:color="D9CCEF" w:sz="4"/>
              <w:bottom w:val="single" w:color="D9CCEF" w:sz="4"/>
              <w:right w:val="single" w:color="D9CCEF" w:sz="4"/>
            </w:tcBorders>
            <w:shd w:fill="4F0D70" w:color="auto" w:val="clear"/>
            <w:tcMar>
              <w:top w:type="dxa" w:w="60"/>
              <w:left w:type="dxa" w:w="100"/>
              <w:bottom w:type="dxa" w:w="60"/>
              <w:right w:type="dxa" w:w="100"/>
            </w:tcMar>
            <w:vAlign w:val="top"/>
          </w:tcPr>
          <w:p>
            <w:pPr>
              <w:spacing w:after="40" w:before="40"/>
            </w:pPr>
            <w:r>
              <w:rPr>
                <w:b/>
                <w:bCs/>
                <w:color w:val="FFFFFF"/>
                <w:sz w:val="17"/>
                <w:szCs w:val="17"/>
              </w:rPr>
              <w:t xml:space="preserve">Attributions principales</w:t>
            </w:r>
          </w:p>
        </w:tc>
      </w:tr>
      <w:tr>
        <w:trPr>
          <w:cantSplit/>
        </w:trPr>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Président</w:t>
            </w:r>
          </w:p>
        </w:tc>
        <w:tc>
          <w:tcPr>
            <w:tcW w:type="dxa" w:w="78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Représente l'association dans tous les actes de la vie civile et en justice ; ordonne les dépenses ; convoque les instances ; conduit les relations institutionnelles ; autorise les déclenchements de mise à l'abri (article 11 des statuts).</w:t>
            </w:r>
          </w:p>
        </w:tc>
      </w:tr>
      <w:tr>
        <w:trPr>
          <w:cantSplit/>
        </w:trPr>
        <w:tc>
          <w:tcPr>
            <w:tcW w:type="dxa" w:w="18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Trésorier</w:t>
            </w:r>
          </w:p>
        </w:tc>
        <w:tc>
          <w:tcPr>
            <w:tcW w:type="dxa" w:w="78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Tient la comptabilité et les rapprochements bancaires ; contrôle les dépenses et les notes de frais ; tient le compteur du Fonds de Premier Secours Social ; émet les reçus fiscaux ; prépare le rapport financier ; exerce la fonction de référent données personnelles.</w:t>
            </w:r>
          </w:p>
        </w:tc>
      </w:tr>
      <w:tr>
        <w:trPr>
          <w:cantSplit/>
        </w:trPr>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Secrétaire</w:t>
            </w:r>
          </w:p>
        </w:tc>
        <w:tc>
          <w:tcPr>
            <w:tcW w:type="dxa" w:w="78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Rédige et conserve les procès-verbaux ; tient le registre spécial et le registre des membres ; assure les déclarations en préfecture dans les trois mois de toute modification.</w:t>
            </w:r>
          </w:p>
        </w:tc>
      </w:tr>
    </w:tbl>
    <w:p>
      <w:pPr>
        <w:spacing w:after="60"/>
      </w:pPr>
    </w:p>
    <w:p>
      <w:pPr>
        <w:spacing w:after="100"/>
        <w:jc w:val="both"/>
      </w:pPr>
      <w:r>
        <w:t xml:space="preserve">Le Bureau se réunit au moins une fois par mois (revue de la feuille de route). Il peut prendre, entre deux Conseils, les décisions de gestion courante, dont il rend compte au Conseil suivant.</w:t>
      </w:r>
    </w:p>
    <w:p>
      <w:pPr>
        <w:pStyle w:val="Heading2"/>
      </w:pPr>
      <w:r>
        <w:t xml:space="preserve">Article 9 — Engagement des dépenses et règle de la double signature</w:t>
      </w:r>
    </w:p>
    <w:p>
      <w:pPr>
        <w:pStyle w:val="ListParagraph"/>
        <w:numPr>
          <w:ilvl w:val="0"/>
          <w:numId w:val="2"/>
        </w:numPr>
        <w:spacing w:after="50"/>
      </w:pPr>
      <w:r>
        <w:t xml:space="preserve">Toute dépense est engagée par le Président ou par un membre qu'il a mandaté par écrit, dans la limite du budget voté.</w:t>
      </w:r>
    </w:p>
    <w:p>
      <w:pPr>
        <w:pStyle w:val="ListParagraph"/>
        <w:numPr>
          <w:ilvl w:val="0"/>
          <w:numId w:val="2"/>
        </w:numPr>
        <w:spacing w:after="50"/>
      </w:pPr>
      <w:r>
        <w:rPr>
          <w:b/>
          <w:bCs/>
        </w:rPr>
        <w:t xml:space="preserve">Au-delà de 300 €</w:t>
      </w:r>
      <w:r>
        <w:t xml:space="preserve">, toute dépense requiert la validation écrite conjointe du Président et du Trésorier (courriel ou visa sur la pièce).</w:t>
      </w:r>
    </w:p>
    <w:p>
      <w:pPr>
        <w:pStyle w:val="ListParagraph"/>
        <w:numPr>
          <w:ilvl w:val="0"/>
          <w:numId w:val="2"/>
        </w:numPr>
        <w:spacing w:after="50"/>
      </w:pPr>
      <w:r>
        <w:t xml:space="preserve">Au-delà de 1 000 €, ou pour tout contrat d'une durée supérieure à un an, une délibération du Conseil d'Administration est requise, après comparaison d'au moins deux offres écrites.</w:t>
      </w:r>
    </w:p>
    <w:p>
      <w:pPr>
        <w:pStyle w:val="ListParagraph"/>
        <w:numPr>
          <w:ilvl w:val="0"/>
          <w:numId w:val="2"/>
        </w:numPr>
        <w:spacing w:after="50"/>
      </w:pPr>
      <w:r>
        <w:t xml:space="preserve">La carte de paiement de l'association est réservée aux dépenses de l'association ; chaque paiement est justifié par une pièce remise au Trésorier sous huit jours.</w:t>
      </w:r>
    </w:p>
    <w:p>
      <w:pPr>
        <w:pStyle w:val="ListParagraph"/>
        <w:numPr>
          <w:ilvl w:val="0"/>
          <w:numId w:val="2"/>
        </w:numPr>
        <w:spacing w:after="50"/>
      </w:pPr>
      <w:r>
        <w:t xml:space="preserve">Aucun membre ne paie une dépense de l'association sur ses deniers personnels, sauf cas d'urgence ; il en demande alors le remboursement selon l'article 15.</w:t>
      </w:r>
    </w:p>
    <w:p>
      <w:pPr>
        <w:pStyle w:val="Heading2"/>
      </w:pPr>
      <w:r>
        <w:t xml:space="preserve">Article 10 — Les Assemblées Générales</w:t>
      </w:r>
    </w:p>
    <w:p>
      <w:pPr>
        <w:pStyle w:val="ListParagraph"/>
        <w:numPr>
          <w:ilvl w:val="0"/>
          <w:numId w:val="2"/>
        </w:numPr>
        <w:spacing w:after="50"/>
      </w:pPr>
      <w:r>
        <w:rPr>
          <w:b/>
          <w:bCs/>
        </w:rPr>
        <w:t xml:space="preserve">Convocation.</w:t>
      </w:r>
      <w:r>
        <w:t xml:space="preserve"> Au moins sept jours à l'avance, par écrit ou par courriel, avec l'ordre du jour et, pour l'Assemblée annuelle, les rapports soumis au vote.</w:t>
      </w:r>
    </w:p>
    <w:p>
      <w:pPr>
        <w:pStyle w:val="ListParagraph"/>
        <w:numPr>
          <w:ilvl w:val="0"/>
          <w:numId w:val="2"/>
        </w:numPr>
        <w:spacing w:after="50"/>
      </w:pPr>
      <w:r>
        <w:rPr>
          <w:b/>
          <w:bCs/>
        </w:rPr>
        <w:t xml:space="preserve">Droit de vote.</w:t>
      </w:r>
      <w:r>
        <w:t xml:space="preserve"> Seuls les membres majeurs à jour de leur cotisation à la date de l'Assemblée votent. Chaque membre dispose d'une voix.</w:t>
      </w:r>
    </w:p>
    <w:p>
      <w:pPr>
        <w:pStyle w:val="ListParagraph"/>
        <w:numPr>
          <w:ilvl w:val="0"/>
          <w:numId w:val="2"/>
        </w:numPr>
        <w:spacing w:after="50"/>
      </w:pPr>
      <w:r>
        <w:rPr>
          <w:b/>
          <w:bCs/>
        </w:rPr>
        <w:t xml:space="preserve">Procurations.</w:t>
      </w:r>
      <w:r>
        <w:t xml:space="preserve"> Un membre empêché peut donner pouvoir écrit à un autre membre. Nul ne peut détenir plus de deux pouvoirs (article 14 des statuts). Les pouvoirs sont annexés à la feuille de présence.</w:t>
      </w:r>
    </w:p>
    <w:p>
      <w:pPr>
        <w:pStyle w:val="ListParagraph"/>
        <w:numPr>
          <w:ilvl w:val="0"/>
          <w:numId w:val="2"/>
        </w:numPr>
        <w:spacing w:after="50"/>
      </w:pPr>
      <w:r>
        <w:rPr>
          <w:b/>
          <w:bCs/>
        </w:rPr>
        <w:t xml:space="preserve">Votes.</w:t>
      </w:r>
      <w:r>
        <w:t xml:space="preserve"> Les votes ont lieu à main levée. Le vote a lieu à bulletin secret pour l'élection des administrateurs dès qu'un membre présent le demande.</w:t>
      </w:r>
    </w:p>
    <w:p>
      <w:pPr>
        <w:pStyle w:val="ListParagraph"/>
        <w:numPr>
          <w:ilvl w:val="0"/>
          <w:numId w:val="2"/>
        </w:numPr>
        <w:spacing w:after="50"/>
      </w:pPr>
      <w:r>
        <w:rPr>
          <w:b/>
          <w:bCs/>
        </w:rPr>
        <w:t xml:space="preserve">Majorités.</w:t>
      </w:r>
      <w:r>
        <w:t xml:space="preserve"> Assemblée Générale Ordinaire : majorité simple des voix exprimées. Assemblée Générale Extraordinaire (modification des statuts, dissolution) : deux tiers des voix exprimées.</w:t>
      </w:r>
    </w:p>
    <w:p>
      <w:pPr>
        <w:pStyle w:val="ListParagraph"/>
        <w:numPr>
          <w:ilvl w:val="0"/>
          <w:numId w:val="2"/>
        </w:numPr>
        <w:spacing w:after="50"/>
      </w:pPr>
      <w:r>
        <w:rPr>
          <w:b/>
          <w:bCs/>
        </w:rPr>
        <w:t xml:space="preserve">Convocation à la demande des membres.</w:t>
      </w:r>
      <w:r>
        <w:t xml:space="preserve"> Lorsque 20 % des membres le demandent par écrit, le Président convoque une Assemblée Générale Extraordinaire dans les trente jours (article 13 des statuts).</w:t>
      </w:r>
    </w:p>
    <w:p>
      <w:pPr>
        <w:pStyle w:val="ListParagraph"/>
        <w:numPr>
          <w:ilvl w:val="0"/>
          <w:numId w:val="2"/>
        </w:numPr>
        <w:spacing w:after="50"/>
      </w:pPr>
      <w:r>
        <w:rPr>
          <w:b/>
          <w:bCs/>
        </w:rPr>
        <w:t xml:space="preserve">Procès-verbal.</w:t>
      </w:r>
      <w:r>
        <w:t xml:space="preserve"> Chaque Assemblée donne lieu à un procès-verbal accompagné de la feuille de présence, signé du Président et du secrétaire de séance.</w:t>
      </w:r>
    </w:p>
    <w:p>
      <w:pPr>
        <w:pStyle w:val="Heading2"/>
      </w:pPr>
      <w:r>
        <w:t xml:space="preserve">Article 11 — Référents</w:t>
      </w:r>
    </w:p>
    <w:p>
      <w:pPr>
        <w:spacing w:after="100"/>
        <w:jc w:val="both"/>
      </w:pPr>
      <w:r>
        <w:t xml:space="preserve">Le Conseil peut confier à des membres des missions de référent, sans pouvoir de décision propre : référent bénévoles (recrutement, formation, plannings), référent sécurité des interventions, référent hygiène alimentaire (titulaire de la formation HACCP), référent partenariats. Le Trésorier est référent données personnelles.</w:t>
      </w:r>
    </w:p>
    <w:p>
      <w:pPr>
        <w:pStyle w:val="Heading1"/>
      </w:pPr>
      <w:r>
        <w:t xml:space="preserve">Titre III — Gestion financière</w:t>
      </w:r>
    </w:p>
    <w:p>
      <w:pPr>
        <w:pStyle w:val="Heading2"/>
      </w:pPr>
      <w:r>
        <w:t xml:space="preserve">Article 12 — Le Fonds de Premier Secours Social</w:t>
      </w:r>
    </w:p>
    <w:p>
      <w:pPr>
        <w:pStyle w:val="ListParagraph"/>
        <w:numPr>
          <w:ilvl w:val="0"/>
          <w:numId w:val="2"/>
        </w:numPr>
        <w:spacing w:after="50"/>
      </w:pPr>
      <w:r>
        <w:t xml:space="preserve">Le Fonds de Premier Secours Social finance exclusivement les mises à l'abri d'urgence (nuitées, repas, produits d'hygiène). Il fait l'objet d'une ligne comptable dédiée et ne peut servir au fonctionnement courant.</w:t>
      </w:r>
    </w:p>
    <w:p>
      <w:pPr>
        <w:pStyle w:val="ListParagraph"/>
        <w:numPr>
          <w:ilvl w:val="0"/>
          <w:numId w:val="2"/>
        </w:numPr>
        <w:spacing w:after="50"/>
      </w:pPr>
      <w:r>
        <w:t xml:space="preserve">Son plafond annuel est fixé par le Conseil d'Administration (4 000 € pour la première année, au titre du premier palier). </w:t>
      </w:r>
      <w:r>
        <w:rPr>
          <w:b/>
          <w:bCs/>
        </w:rPr>
        <w:t xml:space="preserve">Le plafond est une limite, pas un objectif de dépense.</w:t>
      </w:r>
    </w:p>
    <w:p>
      <w:pPr>
        <w:pStyle w:val="ListParagraph"/>
        <w:numPr>
          <w:ilvl w:val="0"/>
          <w:numId w:val="2"/>
        </w:numPr>
        <w:spacing w:after="50"/>
      </w:pPr>
      <w:r>
        <w:t xml:space="preserve">Le Trésorier tient un compteur permanent du solde disponible. Dès que 70 % du fonds est consommé, le Bureau se réunit pour décider d'une campagne de dons ciblée ou d'un resserrement temporaire des critères.</w:t>
      </w:r>
    </w:p>
    <w:p>
      <w:pPr>
        <w:pStyle w:val="ListParagraph"/>
        <w:numPr>
          <w:ilvl w:val="0"/>
          <w:numId w:val="2"/>
        </w:numPr>
        <w:spacing w:after="50"/>
      </w:pPr>
      <w:r>
        <w:t xml:space="preserve">Le fonds ne peut jamais présenter un solde négatif : aucune mise à l'abri n'est promise sans financement disponible.</w:t>
      </w:r>
    </w:p>
    <w:p>
      <w:pPr>
        <w:pStyle w:val="ListParagraph"/>
        <w:numPr>
          <w:ilvl w:val="0"/>
          <w:numId w:val="2"/>
        </w:numPr>
        <w:spacing w:after="50"/>
      </w:pPr>
      <w:r>
        <w:t xml:space="preserve">Les dons fléchés vers le fonds sont affectés à celui-ci et suivis séparément.</w:t>
      </w:r>
    </w:p>
    <w:p>
      <w:pPr>
        <w:pStyle w:val="ListParagraph"/>
        <w:numPr>
          <w:ilvl w:val="0"/>
          <w:numId w:val="2"/>
        </w:numPr>
        <w:spacing w:after="50"/>
      </w:pPr>
      <w:r>
        <w:t xml:space="preserve">Les dons collectés pour le </w:t>
      </w:r>
      <w:r>
        <w:rPr>
          <w:b/>
          <w:bCs/>
        </w:rPr>
        <w:t xml:space="preserve">premier palier</w:t>
      </w:r>
      <w:r>
        <w:t xml:space="preserve"> (18 000 €) sont suivis sur une ligne dédiée et réservés à ses quatre postes : véhicule, Fonds de Premier Secours Social, équipe d'intervention, liaison, sécurité et assurance. Ils ne financent pas le fonctionnement courant.</w:t>
      </w:r>
    </w:p>
    <w:p>
      <w:pPr>
        <w:pStyle w:val="Heading2"/>
      </w:pPr>
      <w:r>
        <w:t xml:space="preserve">Article 13 — Réserves impartageables</w:t>
      </w:r>
    </w:p>
    <w:p>
      <w:pPr>
        <w:spacing w:after="100"/>
        <w:jc w:val="both"/>
      </w:pPr>
      <w:r>
        <w:t xml:space="preserve">Conformément à l'article 15 bis des statuts, tout excédent de l'exercice est intégralement affecté en réserves impartageables, par délibération expresse de l'Assemblée Générale. Aucune somme ne peut être distribuée, directement ou indirectement, aux membres ou aux dirigeants, ni en cours de vie sociale ni lors de la dissolution (article 17 des statuts).</w:t>
      </w:r>
    </w:p>
    <w:p>
      <w:pPr>
        <w:pStyle w:val="Heading2"/>
      </w:pPr>
      <w:r>
        <w:t xml:space="preserve">Article 14 — Gestion désintéressée</w:t>
      </w:r>
    </w:p>
    <w:p>
      <w:pPr>
        <w:spacing w:after="100"/>
        <w:jc w:val="both"/>
      </w:pPr>
      <w:r>
        <w:t xml:space="preserve">Les dirigeants et les bénévoles exercent leurs fonctions à titre bénévole (article 16 des statuts). Aucune indemnité forfaitaire, gratification ou avantage en nature ne peut leur être versé. Seuls les frais réels engagés pour l'association leur sont remboursés.</w:t>
      </w:r>
    </w:p>
    <w:p>
      <w:pPr>
        <w:pStyle w:val="Heading2"/>
      </w:pPr>
      <w:r>
        <w:t xml:space="preserve">Article 15 — Remboursement des frais</w:t>
      </w:r>
    </w:p>
    <w:p>
      <w:pPr>
        <w:pStyle w:val="ListParagraph"/>
        <w:numPr>
          <w:ilvl w:val="0"/>
          <w:numId w:val="2"/>
        </w:numPr>
        <w:spacing w:after="50"/>
      </w:pPr>
      <w:r>
        <w:t xml:space="preserve">Les frais engagés pour une mission de l'association sont remboursés </w:t>
      </w:r>
      <w:r>
        <w:rPr>
          <w:b/>
          <w:bCs/>
        </w:rPr>
        <w:t xml:space="preserve">au réel, sur présentation des justificatifs originaux</w:t>
      </w:r>
      <w:r>
        <w:t xml:space="preserve">, au moyen de la note de frais (document 09), dans les trois mois suivant la dépense.</w:t>
      </w:r>
    </w:p>
    <w:p>
      <w:pPr>
        <w:pStyle w:val="ListParagraph"/>
        <w:numPr>
          <w:ilvl w:val="0"/>
          <w:numId w:val="2"/>
        </w:numPr>
        <w:spacing w:after="50"/>
      </w:pPr>
      <w:r>
        <w:t xml:space="preserve">Les frais kilométriques sont remboursés selon le barème kilométrique applicable aux bénévoles publié chaque année par l'administration fiscale, sur la base d'un état précisant la date, le trajet et l'objet de la mission.</w:t>
      </w:r>
    </w:p>
    <w:p>
      <w:pPr>
        <w:pStyle w:val="ListParagraph"/>
        <w:numPr>
          <w:ilvl w:val="0"/>
          <w:numId w:val="2"/>
        </w:numPr>
        <w:spacing w:after="50"/>
      </w:pPr>
      <w:r>
        <w:t xml:space="preserve">La note de frais est contrôlée par le Trésorier et ordonnancée par le Président. Un dirigeant ne valide jamais seul sa propre note de frais.</w:t>
      </w:r>
    </w:p>
    <w:p>
      <w:pPr>
        <w:pStyle w:val="ListParagraph"/>
        <w:numPr>
          <w:ilvl w:val="0"/>
          <w:numId w:val="2"/>
        </w:numPr>
        <w:spacing w:after="50"/>
      </w:pPr>
      <w:r>
        <w:t xml:space="preserve">Le bénévole peut renoncer au remboursement de ses frais : l'association lui délivre alors un reçu fiscal au titre de l'abandon de frais, sous réserve que ceux-ci soient justifiés et constatés en comptabilité.</w:t>
      </w:r>
    </w:p>
    <w:p>
      <w:pPr>
        <w:pStyle w:val="Heading2"/>
      </w:pPr>
      <w:r>
        <w:t xml:space="preserve">Article 16 — Reçus fiscaux</w:t>
      </w:r>
    </w:p>
    <w:p>
      <w:pPr>
        <w:spacing w:after="100"/>
        <w:jc w:val="both"/>
      </w:pPr>
      <w:r>
        <w:t xml:space="preserve">Les reçus fiscaux sont émis par le Trésorier, numérotés, et uniquement pour des dons sans contrepartie effectivement encaissés. Un registre des reçus est tenu. Aucun reçu n'est délivré pour une cotisation donnant accès à des services.</w:t>
      </w:r>
    </w:p>
    <w:p>
      <w:pPr>
        <w:pStyle w:val="Heading2"/>
      </w:pPr>
      <w:r>
        <w:t xml:space="preserve">Article 17 — Conflits d'intérêts</w:t>
      </w:r>
    </w:p>
    <w:p>
      <w:pPr>
        <w:spacing w:after="100"/>
        <w:jc w:val="both"/>
      </w:pPr>
      <w:r>
        <w:t xml:space="preserve">Tout administrateur ou bénévole qui a un intérêt personnel, familial ou professionnel dans une décision (contrat avec un hôtel, un fournisseur, un partenaire, situation d'un proche accompagné) le déclare avant la délibération et s'abstient d'y prendre part. La déclaration est mentionnée au procès-verbal.</w:t>
      </w:r>
    </w:p>
    <w:p>
      <w:pPr>
        <w:pStyle w:val="Heading1"/>
      </w:pPr>
      <w:r>
        <w:t xml:space="preserve">Titre IV — Les bénévoles</w:t>
      </w:r>
    </w:p>
    <w:p>
      <w:pPr>
        <w:pStyle w:val="Heading2"/>
      </w:pPr>
      <w:r>
        <w:t xml:space="preserve">Article 18 — Le statut de bénévole</w:t>
      </w:r>
    </w:p>
    <w:p>
      <w:pPr>
        <w:spacing w:after="100"/>
        <w:jc w:val="both"/>
      </w:pPr>
      <w:r>
        <w:t xml:space="preserve">Le bénévole s'engage librement, sans rémunération ni lien de subordination. Il choisit ses disponibilités ; aucun horaire ne lui est imposé et il peut à tout moment refuser une mission ou mettre fin à son engagement, sans avoir à se justifier. Il adhère à l'association (formule « Bénévole Actif ») afin d'être couvert par son assurance.</w:t>
      </w:r>
    </w:p>
    <w:p>
      <w:pPr>
        <w:pStyle w:val="Heading2"/>
      </w:pPr>
      <w:r>
        <w:t xml:space="preserve">Article 19 — Recrutement, formation et habilitation</w:t>
      </w:r>
    </w:p>
    <w:p>
      <w:pPr>
        <w:pStyle w:val="ListParagraph"/>
        <w:numPr>
          <w:ilvl w:val="0"/>
          <w:numId w:val="5"/>
        </w:numPr>
        <w:spacing w:after="50"/>
      </w:pPr>
      <w:r>
        <w:t xml:space="preserve">Tout candidat bénévole rencontre au moins un membre du Bureau lors d'un entretien de présentation.</w:t>
      </w:r>
    </w:p>
    <w:p>
      <w:pPr>
        <w:pStyle w:val="ListParagraph"/>
        <w:numPr>
          <w:ilvl w:val="0"/>
          <w:numId w:val="5"/>
        </w:numPr>
        <w:spacing w:after="50"/>
      </w:pPr>
      <w:r>
        <w:t xml:space="preserve">Il signe la </w:t>
      </w:r>
      <w:r>
        <w:rPr>
          <w:b/>
          <w:bCs/>
        </w:rPr>
        <w:t xml:space="preserve">charte du bénévole</w:t>
      </w:r>
      <w:r>
        <w:t xml:space="preserve"> (document 11), qui fait partie intégrante du présent règlement.</w:t>
      </w:r>
    </w:p>
    <w:p>
      <w:pPr>
        <w:pStyle w:val="ListParagraph"/>
        <w:numPr>
          <w:ilvl w:val="0"/>
          <w:numId w:val="5"/>
        </w:numPr>
        <w:spacing w:after="50"/>
      </w:pPr>
      <w:r>
        <w:t xml:space="preserve">Il suit la </w:t>
      </w:r>
      <w:r>
        <w:rPr>
          <w:b/>
          <w:bCs/>
        </w:rPr>
        <w:t xml:space="preserve">formation initiale à l'écoute</w:t>
      </w:r>
      <w:r>
        <w:t xml:space="preserve"> (deux demi-journées : posture, reformulation, gestion de l'agressivité, limites du secret partagé, obligation de signalement) avant de tenir seul une ligne d'écoute en journée.</w:t>
      </w:r>
    </w:p>
    <w:p>
      <w:pPr>
        <w:pStyle w:val="ListParagraph"/>
        <w:numPr>
          <w:ilvl w:val="0"/>
          <w:numId w:val="5"/>
        </w:numPr>
        <w:spacing w:after="50"/>
      </w:pPr>
      <w:r>
        <w:t xml:space="preserve">Il suit la </w:t>
      </w:r>
      <w:r>
        <w:rPr>
          <w:b/>
          <w:bCs/>
        </w:rPr>
        <w:t xml:space="preserve">formation à l'intervention de crise</w:t>
      </w:r>
      <w:r>
        <w:t xml:space="preserve"> et obtient le certificat </w:t>
      </w:r>
      <w:r>
        <w:rPr>
          <w:b/>
          <w:bCs/>
        </w:rPr>
        <w:t xml:space="preserve">PSC1</w:t>
      </w:r>
      <w:r>
        <w:t xml:space="preserve"> (prévention et secours civiques de niveau 1) avant toute intervention hors du siège.</w:t>
      </w:r>
    </w:p>
    <w:p>
      <w:pPr>
        <w:pStyle w:val="ListParagraph"/>
        <w:numPr>
          <w:ilvl w:val="0"/>
          <w:numId w:val="5"/>
        </w:numPr>
        <w:spacing w:after="50"/>
      </w:pPr>
      <w:r>
        <w:t xml:space="preserve">Pour les missions au contact de mineurs ou de personnes vulnérables, le Bureau peut demander au bénévole de présenter le bulletin n° 3 de son casier judiciaire, qu'il demande lui-même gratuitement. Le document est présenté, jamais conservé : seule la date de présentation est consignée.</w:t>
      </w:r>
    </w:p>
    <w:p>
      <w:pPr>
        <w:pStyle w:val="Heading2"/>
      </w:pPr>
      <w:r>
        <w:t xml:space="preserve">Article 20 — Confidentialité</w:t>
      </w:r>
    </w:p>
    <w:p>
      <w:pPr>
        <w:pStyle w:val="ListParagraph"/>
        <w:numPr>
          <w:ilvl w:val="0"/>
          <w:numId w:val="2"/>
        </w:numPr>
        <w:spacing w:after="50"/>
      </w:pPr>
      <w:r>
        <w:t xml:space="preserve">Le bénévole est tenu à une stricte </w:t>
      </w:r>
      <w:r>
        <w:rPr>
          <w:b/>
          <w:bCs/>
        </w:rPr>
        <w:t xml:space="preserve">obligation de discrétion</w:t>
      </w:r>
      <w:r>
        <w:t xml:space="preserve"> sur tout ce qu'il apprend des personnes accueillies, pendant et après son engagement.</w:t>
      </w:r>
    </w:p>
    <w:p>
      <w:pPr>
        <w:pStyle w:val="ListParagraph"/>
        <w:numPr>
          <w:ilvl w:val="0"/>
          <w:numId w:val="2"/>
        </w:numPr>
        <w:spacing w:after="50"/>
      </w:pPr>
      <w:r>
        <w:t xml:space="preserve">Les informations ne sont partagées qu'avec les membres de l'équipe qui en ont besoin pour agir (secret partagé), et avec les services compétents dans le cadre d'une orientation consentie ou d'une obligation légale de signalement.</w:t>
      </w:r>
    </w:p>
    <w:p>
      <w:pPr>
        <w:pStyle w:val="ListParagraph"/>
        <w:numPr>
          <w:ilvl w:val="0"/>
          <w:numId w:val="2"/>
        </w:numPr>
        <w:spacing w:after="50"/>
      </w:pPr>
      <w:r>
        <w:t xml:space="preserve">Il est interdit de publier, sur les réseaux sociaux ou ailleurs, tout élément permettant d'identifier une personne accueillie, y compris une photographie, même floutée, prise lors d'une mission.</w:t>
      </w:r>
    </w:p>
    <w:p>
      <w:pPr>
        <w:pStyle w:val="ListParagraph"/>
        <w:numPr>
          <w:ilvl w:val="0"/>
          <w:numId w:val="2"/>
        </w:numPr>
        <w:spacing w:after="50"/>
      </w:pPr>
      <w:r>
        <w:t xml:space="preserve">Les données nominatives ne circulent jamais par une messagerie personnelle ; seuls les outils désignés par le Bureau sont utilisés (article 33).</w:t>
      </w:r>
    </w:p>
    <w:p>
      <w:pPr>
        <w:pStyle w:val="Heading2"/>
      </w:pPr>
      <w:r>
        <w:t xml:space="preserve">Article 21 — Organisation des permanences</w:t>
      </w:r>
    </w:p>
    <w:p>
      <w:pPr>
        <w:pStyle w:val="ListParagraph"/>
        <w:numPr>
          <w:ilvl w:val="0"/>
          <w:numId w:val="2"/>
        </w:numPr>
        <w:spacing w:after="50"/>
      </w:pPr>
      <w:r>
        <w:t xml:space="preserve">Le planning des permanences est établi par le référent bénévoles et diffusé au plus tard le 20 de chaque mois pour le mois suivant.</w:t>
      </w:r>
    </w:p>
    <w:p>
      <w:pPr>
        <w:pStyle w:val="ListParagraph"/>
        <w:numPr>
          <w:ilvl w:val="0"/>
          <w:numId w:val="2"/>
        </w:numPr>
        <w:spacing w:after="50"/>
      </w:pPr>
      <w:r>
        <w:t xml:space="preserve">Les bénévoles organisent eux-mêmes leurs remplacements et en informent le Bureau.</w:t>
      </w:r>
    </w:p>
    <w:p>
      <w:pPr>
        <w:pStyle w:val="ListParagraph"/>
        <w:numPr>
          <w:ilvl w:val="0"/>
          <w:numId w:val="2"/>
        </w:numPr>
        <w:spacing w:after="50"/>
      </w:pPr>
      <w:r>
        <w:rPr>
          <w:b/>
          <w:bCs/>
        </w:rPr>
        <w:t xml:space="preserve">Nul ne tient deux semaines consécutives de permanence de nuit.</w:t>
      </w:r>
      <w:r>
        <w:t xml:space="preserve"> La prévention de l'épuisement est une obligation de l'association.</w:t>
      </w:r>
    </w:p>
    <w:p>
      <w:pPr>
        <w:pStyle w:val="ListParagraph"/>
        <w:numPr>
          <w:ilvl w:val="0"/>
          <w:numId w:val="2"/>
        </w:numPr>
        <w:spacing w:after="50"/>
      </w:pPr>
      <w:r>
        <w:t xml:space="preserve">L'accueil physique au siège est toujours assuré par deux personnes, dont au moins une femme.</w:t>
      </w:r>
    </w:p>
    <w:p>
      <w:pPr>
        <w:pStyle w:val="ListParagraph"/>
        <w:numPr>
          <w:ilvl w:val="0"/>
          <w:numId w:val="2"/>
        </w:numPr>
        <w:spacing w:after="50"/>
      </w:pPr>
      <w:r>
        <w:t xml:space="preserve">Chaque contact est consigné de façon anonymisée au registre des appels (document 14).</w:t>
      </w:r>
    </w:p>
    <w:p>
      <w:pPr>
        <w:pStyle w:val="Heading2"/>
      </w:pPr>
      <w:r>
        <w:t xml:space="preserve">Article 22 — Interventions hors du siège</w:t>
      </w:r>
    </w:p>
    <w:p>
      <w:pPr>
        <w:pStyle w:val="ListParagraph"/>
        <w:numPr>
          <w:ilvl w:val="0"/>
          <w:numId w:val="6"/>
        </w:numPr>
        <w:spacing w:after="50"/>
      </w:pPr>
      <w:r>
        <w:rPr>
          <w:b/>
          <w:bCs/>
        </w:rPr>
        <w:t xml:space="preserve">Binôme systématique</w:t>
      </w:r>
      <w:r>
        <w:t xml:space="preserve"> : aucune intervention n'a lieu en solitaire, sans exception.</w:t>
      </w:r>
    </w:p>
    <w:p>
      <w:pPr>
        <w:pStyle w:val="ListParagraph"/>
        <w:numPr>
          <w:ilvl w:val="0"/>
          <w:numId w:val="6"/>
        </w:numPr>
        <w:spacing w:after="50"/>
      </w:pPr>
      <w:r>
        <w:t xml:space="preserve">Pour une situation de violences conjugales ou concernant une femme seule, l'équipe comprend au moins une intervenante.</w:t>
      </w:r>
    </w:p>
    <w:p>
      <w:pPr>
        <w:pStyle w:val="ListParagraph"/>
        <w:numPr>
          <w:ilvl w:val="0"/>
          <w:numId w:val="6"/>
        </w:numPr>
        <w:spacing w:after="50"/>
      </w:pPr>
      <w:r>
        <w:t xml:space="preserve">Pendant toute intervention de nuit, un dirigeant est joignable ; l'heure de départ et l'heure de retour sont consignées.</w:t>
      </w:r>
    </w:p>
    <w:p>
      <w:pPr>
        <w:pStyle w:val="ListParagraph"/>
        <w:numPr>
          <w:ilvl w:val="0"/>
          <w:numId w:val="6"/>
        </w:numPr>
        <w:spacing w:after="50"/>
      </w:pPr>
      <w:r>
        <w:t xml:space="preserve">L'équipe intervient dans l'espace public, dans un hall d'immeuble ou au domicile sur invitation explicite de l'occupant. </w:t>
      </w:r>
      <w:r>
        <w:rPr>
          <w:b/>
          <w:bCs/>
        </w:rPr>
        <w:t xml:space="preserve">Elle n'entre jamais dans un domicile où se trouve un auteur de violences</w:t>
      </w:r>
      <w:r>
        <w:t xml:space="preserve"> : cette situation relève des forces de l'ordre (17).</w:t>
      </w:r>
    </w:p>
    <w:p>
      <w:pPr>
        <w:pStyle w:val="ListParagraph"/>
        <w:numPr>
          <w:ilvl w:val="0"/>
          <w:numId w:val="6"/>
        </w:numPr>
        <w:spacing w:after="50"/>
      </w:pPr>
      <w:r>
        <w:t xml:space="preserve">Toute menace, arme, intoxication agressive ou attroupement hostile entraîne le </w:t>
      </w:r>
      <w:r>
        <w:rPr>
          <w:b/>
          <w:bCs/>
        </w:rPr>
        <w:t xml:space="preserve">retrait immédiat</w:t>
      </w:r>
      <w:r>
        <w:t xml:space="preserve"> de l'équipe et l'appel au 17.</w:t>
      </w:r>
    </w:p>
    <w:p>
      <w:pPr>
        <w:pStyle w:val="ListParagraph"/>
        <w:numPr>
          <w:ilvl w:val="0"/>
          <w:numId w:val="6"/>
        </w:numPr>
        <w:spacing w:after="50"/>
      </w:pPr>
      <w:r>
        <w:t xml:space="preserve">Toute intervention de niveau rouge donne lieu à un débriefing d'équipe dans les 72 heures, consigné au registre.</w:t>
      </w:r>
    </w:p>
    <w:p>
      <w:pPr>
        <w:pStyle w:val="Heading2"/>
      </w:pPr>
      <w:r>
        <w:t xml:space="preserve">Article 22 bis — Véhicule de l'association</w:t>
      </w:r>
    </w:p>
    <w:p>
      <w:pPr>
        <w:pStyle w:val="ListParagraph"/>
        <w:numPr>
          <w:ilvl w:val="0"/>
          <w:numId w:val="2"/>
        </w:numPr>
        <w:spacing w:after="50"/>
      </w:pPr>
      <w:r>
        <w:t xml:space="preserve">Le véhicule de l'association est réservé aux missions : accompagnement des personnes mises à l'abri vers l'hébergement ou un service, transport du matériel. Tout usage personnel est interdit.</w:t>
      </w:r>
    </w:p>
    <w:p>
      <w:pPr>
        <w:pStyle w:val="ListParagraph"/>
        <w:numPr>
          <w:ilvl w:val="0"/>
          <w:numId w:val="2"/>
        </w:numPr>
        <w:spacing w:after="50"/>
      </w:pPr>
      <w:r>
        <w:t xml:space="preserve">Il n'est conduit que par un </w:t>
      </w:r>
      <w:r>
        <w:rPr>
          <w:b/>
          <w:bCs/>
        </w:rPr>
        <w:t xml:space="preserve">conducteur désigné par le Bureau</w:t>
      </w:r>
      <w:r>
        <w:t xml:space="preserve">, titulaire du permis B depuis au moins trois ans, dont le permis a été vérifié. La liste des conducteurs figure au document 25.</w:t>
      </w:r>
    </w:p>
    <w:p>
      <w:pPr>
        <w:pStyle w:val="ListParagraph"/>
        <w:numPr>
          <w:ilvl w:val="0"/>
          <w:numId w:val="2"/>
        </w:numPr>
        <w:spacing w:after="50"/>
      </w:pPr>
      <w:r>
        <w:t xml:space="preserve">Un transport de personnes se fait toujours en binôme, et avec au moins une intervenante pour une femme seule ou une victime de violences. Les enfants voyagent dans un siège adapté à leur âge.</w:t>
      </w:r>
    </w:p>
    <w:p>
      <w:pPr>
        <w:pStyle w:val="ListParagraph"/>
        <w:numPr>
          <w:ilvl w:val="0"/>
          <w:numId w:val="2"/>
        </w:numPr>
        <w:spacing w:after="50"/>
      </w:pPr>
      <w:r>
        <w:t xml:space="preserve">Chaque trajet est inscrit au carnet de bord (document 25). Les amendes relèvent du conducteur responsable ; tout sinistre est déclaré au Président le jour même.</w:t>
      </w:r>
    </w:p>
    <w:p>
      <w:pPr>
        <w:pStyle w:val="Heading2"/>
      </w:pPr>
      <w:r>
        <w:t xml:space="preserve">Article 23 — Identification et image de l'association</w:t>
      </w:r>
    </w:p>
    <w:p>
      <w:pPr>
        <w:pStyle w:val="ListParagraph"/>
        <w:numPr>
          <w:ilvl w:val="0"/>
          <w:numId w:val="2"/>
        </w:numPr>
        <w:spacing w:after="50"/>
      </w:pPr>
      <w:r>
        <w:t xml:space="preserve">En mission, le bénévole porte la tenue et le badge remis par l'association, qui portent clairement la mention « ASSOCIATION » et les couleurs d'UNISSON.</w:t>
      </w:r>
    </w:p>
    <w:p>
      <w:pPr>
        <w:pStyle w:val="ListParagraph"/>
        <w:numPr>
          <w:ilvl w:val="0"/>
          <w:numId w:val="2"/>
        </w:numPr>
        <w:spacing w:after="50"/>
      </w:pPr>
      <w:r>
        <w:t xml:space="preserve">Est proscrit tout élément pouvant créer une confusion avec une autorité publique, la police, la sécurité privée ou les secours (insignes, mentions, accessoires, vocabulaire). Le bénévole se présente toujours comme membre d'une association.</w:t>
      </w:r>
    </w:p>
    <w:p>
      <w:pPr>
        <w:pStyle w:val="ListParagraph"/>
        <w:numPr>
          <w:ilvl w:val="0"/>
          <w:numId w:val="2"/>
        </w:numPr>
        <w:spacing w:after="50"/>
      </w:pPr>
      <w:r>
        <w:t xml:space="preserve">Aucun enregistrement vidéo n'est réalisé en mission. Un enregistrement audio n'est possible qu'avec l'accord explicite et consigné de la personne concernée.</w:t>
      </w:r>
    </w:p>
    <w:p>
      <w:pPr>
        <w:pStyle w:val="ListParagraph"/>
        <w:numPr>
          <w:ilvl w:val="0"/>
          <w:numId w:val="2"/>
        </w:numPr>
        <w:spacing w:after="50"/>
      </w:pPr>
      <w:r>
        <w:t xml:space="preserve">Le matériel confié est restitué en fin d'engagement ; son affectation fait l'objet d'une fiche signée (document 25).</w:t>
      </w:r>
    </w:p>
    <w:p>
      <w:pPr>
        <w:pStyle w:val="Heading2"/>
      </w:pPr>
      <w:r>
        <w:t xml:space="preserve">Article 24 — Interdits</w:t>
      </w:r>
    </w:p>
    <w:p>
      <w:pPr>
        <w:spacing w:after="100"/>
        <w:jc w:val="both"/>
      </w:pPr>
      <w:r>
        <w:t xml:space="preserve">Il est interdit à tout membre et à tout bénévole agissant pour l'association :</w:t>
      </w:r>
    </w:p>
    <w:p>
      <w:pPr>
        <w:pStyle w:val="ListParagraph"/>
        <w:numPr>
          <w:ilvl w:val="0"/>
          <w:numId w:val="2"/>
        </w:numPr>
        <w:spacing w:after="50"/>
      </w:pPr>
      <w:r>
        <w:t xml:space="preserve">d'accepter de l'argent, un cadeau ou un service d'une personne accueillie ;</w:t>
      </w:r>
    </w:p>
    <w:p>
      <w:pPr>
        <w:pStyle w:val="ListParagraph"/>
        <w:numPr>
          <w:ilvl w:val="0"/>
          <w:numId w:val="2"/>
        </w:numPr>
        <w:spacing w:after="50"/>
      </w:pPr>
      <w:r>
        <w:t xml:space="preserve">d'entretenir avec une personne accueillie une relation privée, intime ou financière ;</w:t>
      </w:r>
    </w:p>
    <w:p>
      <w:pPr>
        <w:pStyle w:val="ListParagraph"/>
        <w:numPr>
          <w:ilvl w:val="0"/>
          <w:numId w:val="2"/>
        </w:numPr>
        <w:spacing w:after="50"/>
      </w:pPr>
      <w:r>
        <w:t xml:space="preserve">d'héberger une personne accueillie à son domicile, ou de lui confier ses coordonnées personnelles ;</w:t>
      </w:r>
    </w:p>
    <w:p>
      <w:pPr>
        <w:pStyle w:val="ListParagraph"/>
        <w:numPr>
          <w:ilvl w:val="0"/>
          <w:numId w:val="2"/>
        </w:numPr>
        <w:spacing w:after="50"/>
      </w:pPr>
      <w:r>
        <w:t xml:space="preserve">de transporter une personne accueillie dans son véhicule personnel : les transports se font avec le véhicule de l'association (article 22 bis), sauf accord préalable d'un dirigeant et après vérification que l'assurance du bénévole couvre les trajets pour le compte d'une association ;</w:t>
      </w:r>
    </w:p>
    <w:p>
      <w:pPr>
        <w:pStyle w:val="ListParagraph"/>
        <w:numPr>
          <w:ilvl w:val="0"/>
          <w:numId w:val="2"/>
        </w:numPr>
        <w:spacing w:after="50"/>
      </w:pPr>
      <w:r>
        <w:t xml:space="preserve">d'intervenir sous l'emprise d'alcool ou de stupéfiants ;</w:t>
      </w:r>
    </w:p>
    <w:p>
      <w:pPr>
        <w:pStyle w:val="ListParagraph"/>
        <w:numPr>
          <w:ilvl w:val="0"/>
          <w:numId w:val="2"/>
        </w:numPr>
        <w:spacing w:after="50"/>
      </w:pPr>
      <w:r>
        <w:t xml:space="preserve">de faire du prosélytisme politique ou religieux auprès des personnes accueillies ;</w:t>
      </w:r>
    </w:p>
    <w:p>
      <w:pPr>
        <w:pStyle w:val="ListParagraph"/>
        <w:numPr>
          <w:ilvl w:val="0"/>
          <w:numId w:val="2"/>
        </w:numPr>
        <w:spacing w:after="50"/>
      </w:pPr>
      <w:r>
        <w:t xml:space="preserve">de promettre une aide, un hébergement ou une somme que l'association n'a pas décidé d'accorder.</w:t>
      </w:r>
    </w:p>
    <w:p>
      <w:pPr>
        <w:pStyle w:val="Heading2"/>
      </w:pPr>
      <w:r>
        <w:t xml:space="preserve">Article 25 — Soutien des bénévoles</w:t>
      </w:r>
    </w:p>
    <w:p>
      <w:pPr>
        <w:spacing w:after="100"/>
        <w:jc w:val="both"/>
      </w:pPr>
      <w:r>
        <w:t xml:space="preserve">L'association veille à la santé et à la sécurité de ses bénévoles. Après une situation éprouvante, le bénévole peut demander un temps d'échange avec un dirigeant et, si besoin, être orienté vers un soutien extérieur. Tout bénévole peut exercer un droit de retrait face à une situation qu'il estime dangereuse, sans avoir à le justifier.</w:t>
      </w:r>
    </w:p>
    <w:p>
      <w:pPr>
        <w:pStyle w:val="Heading1"/>
      </w:pPr>
      <w:r>
        <w:t xml:space="preserve">Titre V — L'accueil des personnes</w:t>
      </w:r>
    </w:p>
    <w:p>
      <w:pPr>
        <w:pStyle w:val="Heading2"/>
      </w:pPr>
      <w:r>
        <w:t xml:space="preserve">Article 26 — Principes de l'accueil</w:t>
      </w:r>
    </w:p>
    <w:p>
      <w:pPr>
        <w:spacing w:after="100"/>
        <w:jc w:val="both"/>
      </w:pPr>
      <w:r>
        <w:t xml:space="preserve">L'accueil, l'écoute et l'orientation sont </w:t>
      </w:r>
      <w:r>
        <w:rPr>
          <w:b/>
          <w:bCs/>
        </w:rPr>
        <w:t xml:space="preserve">gratuits, inconditionnels et confidentiels</w:t>
      </w:r>
      <w:r>
        <w:t xml:space="preserve">. Ils sont ouverts à toute personne, sans distinction d'origine, de nationalité, de situation administrative, de religion, d'orientation sexuelle, d'identité de genre, de handicap, d'opinion ou de situation sociale. La personne peut rester anonyme. Elle est libre d'accepter ou de refuser ce qui lui est proposé.</w:t>
      </w:r>
    </w:p>
    <w:p>
      <w:pPr>
        <w:pStyle w:val="Heading2"/>
      </w:pPr>
      <w:r>
        <w:t xml:space="preserve">Article 27 — Limites de l'action de l'association</w:t>
      </w:r>
    </w:p>
    <w:p>
      <w:pPr>
        <w:spacing w:after="100"/>
        <w:jc w:val="both"/>
      </w:pPr>
      <w:r>
        <w:t xml:space="preserve">UNISSON n'est pas un service d'urgence. Les horaires d'accueil et de permanence sont affichés au siège et publiés sur le site de l'association. </w:t>
      </w:r>
      <w:r>
        <w:rPr>
          <w:b/>
          <w:bCs/>
        </w:rPr>
        <w:t xml:space="preserve">En cas de danger, la personne est orientée sans délai vers les numéros d'urgence</w:t>
      </w:r>
      <w:r>
        <w:t xml:space="preserve"> : 115 (hébergement d'urgence), 17 (police), 15 (SAMU), 18 (pompiers), 112 (urgences européennes), 114 (urgences par SMS), 119 (enfance en danger), 3919 (violences faites aux femmes).</w:t>
      </w:r>
    </w:p>
    <w:p>
      <w:pPr>
        <w:pStyle w:val="Heading2"/>
      </w:pPr>
      <w:r>
        <w:t xml:space="preserve">Article 28 — Droits des personnes accueillies</w:t>
      </w:r>
    </w:p>
    <w:p>
      <w:pPr>
        <w:pStyle w:val="ListParagraph"/>
        <w:numPr>
          <w:ilvl w:val="0"/>
          <w:numId w:val="2"/>
        </w:numPr>
        <w:spacing w:after="50"/>
      </w:pPr>
      <w:r>
        <w:t xml:space="preserve">Être accueillie avec respect et dignité, et être écoutée sans jugement.</w:t>
      </w:r>
    </w:p>
    <w:p>
      <w:pPr>
        <w:pStyle w:val="ListParagraph"/>
        <w:numPr>
          <w:ilvl w:val="0"/>
          <w:numId w:val="2"/>
        </w:numPr>
        <w:spacing w:after="50"/>
      </w:pPr>
      <w:r>
        <w:t xml:space="preserve">Être informée de ce que l'association peut faire et ne peut pas faire, et de l'usage qui sera fait des informations confiées.</w:t>
      </w:r>
    </w:p>
    <w:p>
      <w:pPr>
        <w:pStyle w:val="ListParagraph"/>
        <w:numPr>
          <w:ilvl w:val="0"/>
          <w:numId w:val="2"/>
        </w:numPr>
        <w:spacing w:after="50"/>
      </w:pPr>
      <w:r>
        <w:t xml:space="preserve">Voir sa vie privée respectée : rien n'est transmis à un tiers sans son accord, sauf obligation légale de protection (article 31).</w:t>
      </w:r>
    </w:p>
    <w:p>
      <w:pPr>
        <w:pStyle w:val="ListParagraph"/>
        <w:numPr>
          <w:ilvl w:val="0"/>
          <w:numId w:val="2"/>
        </w:numPr>
        <w:spacing w:after="50"/>
      </w:pPr>
      <w:r>
        <w:t xml:space="preserve">Accéder aux informations la concernant, les faire rectifier ou effacer (article 33).</w:t>
      </w:r>
    </w:p>
    <w:p>
      <w:pPr>
        <w:pStyle w:val="ListParagraph"/>
        <w:numPr>
          <w:ilvl w:val="0"/>
          <w:numId w:val="2"/>
        </w:numPr>
        <w:spacing w:after="50"/>
      </w:pPr>
      <w:r>
        <w:t xml:space="preserve">Adresser une réclamation écrite au Président, à laquelle il est répondu par écrit sous quinze jours.</w:t>
      </w:r>
    </w:p>
    <w:p>
      <w:pPr>
        <w:spacing w:after="100"/>
        <w:jc w:val="both"/>
      </w:pPr>
      <w:r>
        <w:t xml:space="preserve">Ces droits font l'objet d'une affiche apposée dans l'espace d'accueil (document 17).</w:t>
      </w:r>
    </w:p>
    <w:p>
      <w:pPr>
        <w:pStyle w:val="Heading2"/>
      </w:pPr>
      <w:r>
        <w:t xml:space="preserve">Article 29 — Comportement attendu</w:t>
      </w:r>
    </w:p>
    <w:p>
      <w:pPr>
        <w:spacing w:after="100"/>
        <w:jc w:val="both"/>
      </w:pPr>
      <w:r>
        <w:t xml:space="preserve">Les personnes accueillies, comme les membres, s'engagent à respecter les personnes présentes et les locaux. Sont incompatibles avec l'accueil : la violence verbale ou physique, les propos discriminatoires, la détention d'armes ou d'objets dangereux, la consommation d'alcool ou de stupéfiants dans les locaux. En cas de manquement, l'équipe peut interrompre l'entretien ; le Bureau peut décider d'une suspension temporaire de l'accueil physique, en maintenant toujours une orientation vers les services compétents.</w:t>
      </w:r>
    </w:p>
    <w:p>
      <w:pPr>
        <w:pStyle w:val="Heading2"/>
      </w:pPr>
      <w:r>
        <w:t xml:space="preserve">Article 30 — Mise à l'abri d'urgence</w:t>
      </w:r>
    </w:p>
    <w:p>
      <w:pPr>
        <w:spacing w:after="100"/>
        <w:jc w:val="both"/>
      </w:pPr>
      <w:r>
        <w:t xml:space="preserve">La mise à l'abri temporaire (48 heures à 15 jours au plus, article 3 des statuts) n'est déclenchée qu'une fois le dispositif activé par le Conseil d'Administration (premier palier de 18 000 € réuni, conventions hôtelières signées, bénévoles formés et assurés, fonds provisionné, véhicule assuré). Elle obéit au protocole adopté par le Conseil (document 18). Elle suppose la réunion de </w:t>
      </w:r>
      <w:r>
        <w:rPr>
          <w:b/>
          <w:bCs/>
        </w:rPr>
        <w:t xml:space="preserve">quatre critères cumulatifs</w:t>
      </w:r>
      <w:r>
        <w:t xml:space="preserve"> :</w:t>
      </w:r>
    </w:p>
    <w:p>
      <w:pPr>
        <w:pStyle w:val="ListParagraph"/>
        <w:numPr>
          <w:ilvl w:val="0"/>
          <w:numId w:val="7"/>
        </w:numPr>
        <w:spacing w:after="50"/>
      </w:pPr>
      <w:r>
        <w:t xml:space="preserve">un ancrage territorial (résidence ou scolarité à Gennevilliers, ou orientation par un partenaire de proximité identifié) ;</w:t>
      </w:r>
    </w:p>
    <w:p>
      <w:pPr>
        <w:pStyle w:val="ListParagraph"/>
        <w:numPr>
          <w:ilvl w:val="0"/>
          <w:numId w:val="7"/>
        </w:numPr>
        <w:spacing w:after="50"/>
      </w:pPr>
      <w:r>
        <w:t xml:space="preserve">une urgence immédiate avérée (mise à la rue effective, rupture brutale de cohabitation, menace de violences constatée) ;</w:t>
      </w:r>
    </w:p>
    <w:p>
      <w:pPr>
        <w:pStyle w:val="ListParagraph"/>
        <w:numPr>
          <w:ilvl w:val="0"/>
          <w:numId w:val="7"/>
        </w:numPr>
        <w:spacing w:after="50"/>
      </w:pPr>
      <w:r>
        <w:t xml:space="preserve">l'absence de solution publique immédiate, constatée et consignée (heure d'appel au 115 et réponse obtenue) ;</w:t>
      </w:r>
    </w:p>
    <w:p>
      <w:pPr>
        <w:pStyle w:val="ListParagraph"/>
        <w:numPr>
          <w:ilvl w:val="0"/>
          <w:numId w:val="7"/>
        </w:numPr>
        <w:spacing w:after="50"/>
      </w:pPr>
      <w:r>
        <w:t xml:space="preserve">l'engagement écrit de la personne à rencontrer le service social référent dès le premier jour ouvré.</w:t>
      </w:r>
    </w:p>
    <w:p>
      <w:pPr>
        <w:spacing w:after="100"/>
        <w:jc w:val="both"/>
      </w:pPr>
      <w:r>
        <w:t xml:space="preserve">Aucune mise à l'abri n'est décidée sans l'autorisation d'un dirigeant (Président, ou à défaut Trésorier). Sont exclues du dispositif : les situations nécessitant des soins immédiats (15), de danger imminent avec auteur présent (17) et les demandes de logement durable (orientation SIAO, CCAS, bailleurs).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EF3F2" w:sz="4"/>
              <w:left w:val="single" w:color="D92D20" w:sz="24"/>
              <w:bottom w:val="single" w:color="FEF3F2" w:sz="4"/>
              <w:right w:val="single" w:color="FEF3F2" w:sz="4"/>
            </w:tcBorders>
            <w:shd w:fill="FEF3F2" w:color="auto" w:val="clear"/>
            <w:tcMar>
              <w:top w:type="dxa" w:w="100"/>
              <w:left w:type="dxa" w:w="180"/>
              <w:bottom w:type="dxa" w:w="100"/>
              <w:right w:type="dxa" w:w="140"/>
            </w:tcMar>
          </w:tcPr>
          <w:p>
            <w:pPr>
              <w:spacing w:after="40" w:before="40"/>
            </w:pPr>
            <w:r>
              <w:rPr>
                <w:b/>
                <w:bCs/>
                <w:sz w:val="18"/>
                <w:szCs w:val="18"/>
              </w:rPr>
              <w:t xml:space="preserve">Interdiction absolue.</w:t>
            </w:r>
            <w:r>
              <w:rPr>
                <w:sz w:val="18"/>
                <w:szCs w:val="18"/>
              </w:rPr>
              <w:t xml:space="preserve"> L'association n'héberge jamais un mineur non accompagné. Sa prise en charge relève exclusivement de l'Aide sociale à l'enfance et de l'autorité judiciaire. L'action d'UNISSON se limite alors à la mise en sécurité immédiate de l'enfant, à l'appel au 119 ou au 17 et à la saisine des autorités.</w:t>
            </w:r>
          </w:p>
        </w:tc>
      </w:tr>
    </w:tbl>
    <w:p>
      <w:pPr>
        <w:spacing w:after="60"/>
      </w:pPr>
    </w:p>
    <w:p>
      <w:pPr>
        <w:pStyle w:val="Heading2"/>
      </w:pPr>
      <w:r>
        <w:t xml:space="preserve">Article 31 — Protection de l'enfance et obligation de signalement</w:t>
      </w:r>
    </w:p>
    <w:p>
      <w:pPr>
        <w:spacing w:after="100"/>
        <w:jc w:val="both"/>
      </w:pPr>
      <w:r>
        <w:t xml:space="preserve">Toute personne qui a connaissance de privations, de mauvais traitements ou d'atteintes sexuelles infligés à un mineur est tenue d'en informer les autorités (article 434-3 du Code pénal). En conséquence, le bénévole qui suspecte qu'un enfant est en danger :</w:t>
      </w:r>
    </w:p>
    <w:p>
      <w:pPr>
        <w:pStyle w:val="ListParagraph"/>
        <w:numPr>
          <w:ilvl w:val="0"/>
          <w:numId w:val="2"/>
        </w:numPr>
        <w:spacing w:after="50"/>
      </w:pPr>
      <w:r>
        <w:t xml:space="preserve">appelle le </w:t>
      </w:r>
      <w:r>
        <w:rPr>
          <w:b/>
          <w:bCs/>
        </w:rPr>
        <w:t xml:space="preserve">119</w:t>
      </w:r>
      <w:r>
        <w:t xml:space="preserve"> (Allô Enfance en Danger) ou, en cas de danger immédiat, le </w:t>
      </w:r>
      <w:r>
        <w:rPr>
          <w:b/>
          <w:bCs/>
        </w:rPr>
        <w:t xml:space="preserve">17</w:t>
      </w:r>
      <w:r>
        <w:t xml:space="preserve"> ;</w:t>
      </w:r>
    </w:p>
    <w:p>
      <w:pPr>
        <w:pStyle w:val="ListParagraph"/>
        <w:numPr>
          <w:ilvl w:val="0"/>
          <w:numId w:val="2"/>
        </w:numPr>
        <w:spacing w:after="50"/>
      </w:pPr>
      <w:r>
        <w:t xml:space="preserve">informe sans délai le Président, qui transmet une </w:t>
      </w:r>
      <w:r>
        <w:rPr>
          <w:b/>
          <w:bCs/>
        </w:rPr>
        <w:t xml:space="preserve">information préoccupante</w:t>
      </w:r>
      <w:r>
        <w:t xml:space="preserve"> à la cellule départementale de recueil (CRIP) des Hauts-de-Seine ;</w:t>
      </w:r>
    </w:p>
    <w:p>
      <w:pPr>
        <w:pStyle w:val="ListParagraph"/>
        <w:numPr>
          <w:ilvl w:val="0"/>
          <w:numId w:val="2"/>
        </w:numPr>
        <w:spacing w:after="50"/>
      </w:pPr>
      <w:r>
        <w:t xml:space="preserve">en cas de danger grave et immédiat, un </w:t>
      </w:r>
      <w:r>
        <w:rPr>
          <w:b/>
          <w:bCs/>
        </w:rPr>
        <w:t xml:space="preserve">signalement écrit</w:t>
      </w:r>
      <w:r>
        <w:t xml:space="preserve"> est adressé au Procureur de la République.</w:t>
      </w:r>
    </w:p>
    <w:p>
      <w:pPr>
        <w:spacing w:after="100"/>
        <w:jc w:val="both"/>
      </w:pPr>
      <w:r>
        <w:t xml:space="preserve">Le secret dû aux personnes accueillies ne fait jamais obstacle à la protection d'un enfant en danger.</w:t>
      </w:r>
    </w:p>
    <w:p>
      <w:pPr>
        <w:pStyle w:val="Heading2"/>
      </w:pPr>
      <w:r>
        <w:t xml:space="preserve">Article 32 — Violences au sein du couple et de la famille</w:t>
      </w:r>
    </w:p>
    <w:p>
      <w:pPr>
        <w:spacing w:after="100"/>
        <w:jc w:val="both"/>
      </w:pPr>
      <w:r>
        <w:t xml:space="preserve">Face à une personne victime de violences, la priorité est sa mise en sécurité et celle de ses enfants : orientation vers le 3919, le 17 en cas de danger, et les associations spécialisées (CIDFF, France Victimes). L'équipe comprend alors au moins une intervenante. </w:t>
      </w:r>
      <w:r>
        <w:rPr>
          <w:b/>
          <w:bCs/>
        </w:rPr>
        <w:t xml:space="preserve">Aucune médiation n'est proposée entre une victime et l'auteur de violences</w:t>
      </w:r>
      <w:r>
        <w:t xml:space="preserve"> : la médiation suppose l'égalité des parties et peut exposer la victime à un danger supplémentaire.</w:t>
      </w:r>
    </w:p>
    <w:p>
      <w:pPr>
        <w:pStyle w:val="Heading1"/>
      </w:pPr>
      <w:r>
        <w:t xml:space="preserve">Titre VI — Données personnelles et image</w:t>
      </w:r>
    </w:p>
    <w:p>
      <w:pPr>
        <w:pStyle w:val="Heading2"/>
      </w:pPr>
      <w:r>
        <w:t xml:space="preserve">Article 33 — Protection des données personnelles</w:t>
      </w:r>
    </w:p>
    <w:p>
      <w:pPr>
        <w:pStyle w:val="ListParagraph"/>
        <w:numPr>
          <w:ilvl w:val="0"/>
          <w:numId w:val="2"/>
        </w:numPr>
        <w:spacing w:after="50"/>
      </w:pPr>
      <w:r>
        <w:t xml:space="preserve">L'association ne collecte que les données strictement nécessaires à l'accueil, à l'orientation et à la gestion des membres. Les fiches d'accueil et de prise en charge sont </w:t>
      </w:r>
      <w:r>
        <w:rPr>
          <w:b/>
          <w:bCs/>
        </w:rPr>
        <w:t xml:space="preserve">anonymisées par défaut</w:t>
      </w:r>
      <w:r>
        <w:t xml:space="preserve"> : un identifiant interne remplace le nom.</w:t>
      </w:r>
    </w:p>
    <w:p>
      <w:pPr>
        <w:pStyle w:val="ListParagraph"/>
        <w:numPr>
          <w:ilvl w:val="0"/>
          <w:numId w:val="2"/>
        </w:numPr>
        <w:spacing w:after="50"/>
      </w:pPr>
      <w:r>
        <w:t xml:space="preserve">Les données relatives à la santé, aux violences ou à la situation familiale ne sont recueillies qu'avec le consentement explicite de la personne, ou pour protéger ses intérêts vitaux.</w:t>
      </w:r>
    </w:p>
    <w:p>
      <w:pPr>
        <w:pStyle w:val="ListParagraph"/>
        <w:numPr>
          <w:ilvl w:val="0"/>
          <w:numId w:val="2"/>
        </w:numPr>
        <w:spacing w:after="50"/>
      </w:pPr>
      <w:r>
        <w:t xml:space="preserve">Les documents papier sont conservés sous clé au siège ; les fichiers numériques sont chiffrés et leur accès est réservé aux personnes habilitées par le Bureau.</w:t>
      </w:r>
    </w:p>
    <w:p>
      <w:pPr>
        <w:pStyle w:val="ListParagraph"/>
        <w:numPr>
          <w:ilvl w:val="0"/>
          <w:numId w:val="2"/>
        </w:numPr>
        <w:spacing w:after="50"/>
      </w:pPr>
      <w:r>
        <w:t xml:space="preserve">Les durées de conservation sont celles du registre des traitements (document 05) : un an pour les fiches d'accueil et de signalement, trois ans après la fin de l'adhésion pour les membres, dix ans pour les pièces comptables.</w:t>
      </w:r>
    </w:p>
    <w:p>
      <w:pPr>
        <w:pStyle w:val="ListParagraph"/>
        <w:numPr>
          <w:ilvl w:val="0"/>
          <w:numId w:val="2"/>
        </w:numPr>
        <w:spacing w:after="50"/>
      </w:pPr>
      <w:r>
        <w:t xml:space="preserve">Les demandes d'accès, de rectification ou d'effacement sont adressées au référent données (contact@education-solidaire.org) et traitées dans un délai d'un mois.</w:t>
      </w:r>
    </w:p>
    <w:p>
      <w:pPr>
        <w:pStyle w:val="ListParagraph"/>
        <w:numPr>
          <w:ilvl w:val="0"/>
          <w:numId w:val="2"/>
        </w:numPr>
        <w:spacing w:after="50"/>
      </w:pPr>
      <w:r>
        <w:t xml:space="preserve">Toute perte, fuite ou consultation non autorisée de données est signalée immédiatement au référent, qui en informe la CNIL dans les 72 heures lorsque la loi l'exige.</w:t>
      </w:r>
    </w:p>
    <w:p>
      <w:pPr>
        <w:pStyle w:val="Heading2"/>
      </w:pPr>
      <w:r>
        <w:t xml:space="preserve">Article 34 — Droit à l'image</w:t>
      </w:r>
    </w:p>
    <w:p>
      <w:pPr>
        <w:spacing w:after="100"/>
        <w:jc w:val="both"/>
      </w:pPr>
      <w:r>
        <w:t xml:space="preserve">Aucune photographie ou vidéo d'une personne identifiable n'est utilisée sans son autorisation écrite, et celle de ses représentants légaux s'il s'agit d'un mineur. Les personnes accueillies dans le cadre de l'urgence ne sont jamais photographiées.</w:t>
      </w:r>
    </w:p>
    <w:p>
      <w:pPr>
        <w:pStyle w:val="Heading1"/>
      </w:pPr>
      <w:r>
        <w:t xml:space="preserve">Titre VII — Activités solidaires</w:t>
      </w:r>
    </w:p>
    <w:p>
      <w:pPr>
        <w:pStyle w:val="Heading2"/>
      </w:pPr>
      <w:r>
        <w:t xml:space="preserve">Article 35 — Café solidaire et épicerie solidaire</w:t>
      </w:r>
    </w:p>
    <w:p>
      <w:pPr>
        <w:pStyle w:val="ListParagraph"/>
        <w:numPr>
          <w:ilvl w:val="0"/>
          <w:numId w:val="2"/>
        </w:numPr>
        <w:spacing w:after="50"/>
      </w:pPr>
      <w:r>
        <w:t xml:space="preserve">Aucune denrée alimentaire n'est manipulée ou distribuée avant qu'un référent ait suivi la formation à l'hygiène alimentaire (HACCP).</w:t>
      </w:r>
    </w:p>
    <w:p>
      <w:pPr>
        <w:pStyle w:val="ListParagraph"/>
        <w:numPr>
          <w:ilvl w:val="0"/>
          <w:numId w:val="2"/>
        </w:numPr>
        <w:spacing w:after="50"/>
      </w:pPr>
      <w:r>
        <w:t xml:space="preserve">Le « café suspendu » est suivi au moyen d'un carnet de bons, afin que la personne qui en bénéficie n'ait jamais à justifier de sa situation.</w:t>
      </w:r>
    </w:p>
    <w:p>
      <w:pPr>
        <w:pStyle w:val="ListParagraph"/>
        <w:numPr>
          <w:ilvl w:val="0"/>
          <w:numId w:val="2"/>
        </w:numPr>
        <w:spacing w:after="50"/>
      </w:pPr>
      <w:r>
        <w:t xml:space="preserve">L'épicerie solidaire est réservée aux personnes orientées par un partenaire social ; la participation demandée reste symbolique (10 à 20 % du prix de référence).</w:t>
      </w:r>
    </w:p>
    <w:p>
      <w:pPr>
        <w:pStyle w:val="ListParagraph"/>
        <w:numPr>
          <w:ilvl w:val="0"/>
          <w:numId w:val="2"/>
        </w:numPr>
        <w:spacing w:after="50"/>
      </w:pPr>
      <w:r>
        <w:t xml:space="preserve">Toute recette est encaissée contre pièce et reversée au Trésorier ; ces activités restent accessoires et conformes à l'objet social.</w:t>
      </w:r>
    </w:p>
    <w:p>
      <w:pPr>
        <w:pStyle w:val="Heading1"/>
      </w:pPr>
      <w:r>
        <w:t xml:space="preserve">Titre VIII — Dispositions finales</w:t>
      </w:r>
    </w:p>
    <w:p>
      <w:pPr>
        <w:pStyle w:val="Heading2"/>
      </w:pPr>
      <w:r>
        <w:t xml:space="preserve">Article 36 — Adoption, modification et entrée en vigueur</w:t>
      </w:r>
    </w:p>
    <w:p>
      <w:pPr>
        <w:spacing w:after="100"/>
        <w:jc w:val="both"/>
      </w:pPr>
      <w:r>
        <w:t xml:space="preserve">Le présent règlement est établi par le Conseil d'Administration et approuvé par l'Assemblée Générale Ordinaire (article 18 des statuts). Il entre en vigueur à titre provisoire dès son adoption par le Conseil, jusqu'à son approbation par l'Assemblée Générale. Il est modifié selon la même procédure.</w:t>
      </w:r>
    </w:p>
    <w:p>
      <w:pPr>
        <w:pStyle w:val="Heading2"/>
      </w:pPr>
      <w:r>
        <w:t xml:space="preserve">Article 37 — Diffusion</w:t>
      </w:r>
    </w:p>
    <w:p>
      <w:pPr>
        <w:spacing w:after="100"/>
        <w:jc w:val="both"/>
      </w:pPr>
      <w:r>
        <w:t xml:space="preserve">Le règlement est remis à chaque membre lors de son adhésion et à chaque bénévole avec la charte, publié sur l'espace réservé aux membres et tenu à disposition au siège. Ses articles 26 à 34 font l'objet d'un affichage dans l'espace d'accueil.</w:t>
      </w:r>
    </w:p>
    <w:p>
      <w:pPr>
        <w:pStyle w:val="Heading2"/>
      </w:pPr>
      <w:r>
        <w:t xml:space="preserve">Article 38 — Annexes</w:t>
      </w:r>
    </w:p>
    <w:p>
      <w:pPr>
        <w:spacing w:after="100"/>
        <w:jc w:val="both"/>
      </w:pPr>
      <w:r>
        <w:t xml:space="preserve">Font partie intégrante du présent règlement : la charte du bénévole (document 11), les protocoles d'écoute (document 12), le barème de remboursement des frais (document 09), le protocole de mise à l'abri (document 18) et l'affiche des droits des personnes accueillies (document 17).</w:t>
      </w:r>
    </w:p>
    <w:p>
      <w:pPr>
        <w:spacing w:after="200"/>
      </w:pPr>
    </w:p>
    <w:p>
      <w:pPr>
        <w:spacing w:after="100"/>
        <w:jc w:val="both"/>
      </w:pPr>
      <w:r>
        <w:t xml:space="preserve">Établi par le Conseil d'Administration à Gennevilliers, le ___/___/2026.</w:t>
      </w:r>
    </w:p>
    <w:p>
      <w:pPr>
        <w:spacing w:after="100"/>
        <w:jc w:val="both"/>
      </w:pPr>
      <w:r>
        <w:t xml:space="preserve">Approuvé par l'Assemblée Générale Ordinaire du ___/___/20___.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Président — Sabri TOUJANI</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Trésorier — Tahar BENHALIMA</w:t>
            </w:r>
          </w:p>
          <w:p>
            <w:r>
              <w:rPr>
                <w:color w:val="574A66"/>
                <w:sz w:val="16"/>
                <w:szCs w:val="16"/>
              </w:rPr>
              <w:t xml:space="preserve">Date et signature</w:t>
            </w:r>
          </w:p>
          <w:p>
            <w:pPr>
              <w:pBdr>
                <w:bottom w:val="single" w:color="574A66" w:sz="6"/>
              </w:pBdr>
              <w:spacing w:before="7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r>
    <w:r>
      <w:rPr>
        <w:color w:val="574A66"/>
        <w:sz w:val="13"/>
        <w:szCs w:val="13"/>
      </w:rPr>
      <w:fldChar w:fldCharType="begin"/>
    </w:r>
    <w:r>
      <w:rPr>
        <w:color w:val="574A66"/>
        <w:sz w:val="13"/>
        <w:szCs w:val="13"/>
      </w:rPr>
      <w:instrText xml:space="preserve">PAGE</w:instrText>
    </w:r>
    <w:r>
      <w:rPr>
        <w:color w:val="574A66"/>
        <w:sz w:val="13"/>
        <w:szCs w:val="13"/>
      </w:rPr>
      <w:fldChar w:fldCharType="separate"/>
    </w:r>
    <w:r>
      <w:rPr>
        <w:color w:val="574A66"/>
        <w:sz w:val="13"/>
        <w:szCs w:val="13"/>
      </w:rPr>
      <w:fldChar w:fldCharType="end"/>
    </w:r>
    <w:r>
      <w:rPr>
        <w:color w:val="574A66"/>
        <w:sz w:val="13"/>
        <w:szCs w:val="13"/>
      </w:rPr>
      <w:t xml:space="preserve"> / </w:t>
    </w:r>
    <w:r>
      <w:rPr>
        <w:color w:val="574A66"/>
        <w:sz w:val="13"/>
        <w:szCs w:val="13"/>
      </w:rPr>
      <w:fldChar w:fldCharType="begin"/>
    </w:r>
    <w:r>
      <w:rPr>
        <w:color w:val="574A66"/>
        <w:sz w:val="13"/>
        <w:szCs w:val="13"/>
      </w:rPr>
      <w:instrText xml:space="preserve">NUMPAGES</w:instrText>
    </w:r>
    <w:r>
      <w:rPr>
        <w:color w:val="574A66"/>
        <w:sz w:val="13"/>
        <w:szCs w:val="13"/>
      </w:rPr>
      <w:fldChar w:fldCharType="separate"/>
    </w:r>
    <w:r>
      <w:rPr>
        <w:color w:val="574A66"/>
        <w:sz w:val="13"/>
        <w:szCs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10 · Règlement intérieur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20" w:hanging="300"/>
      </w:pPr>
    </w:lvl>
  </w:abstractNum>
  <w:abstractNum w:abstractNumId="4" w15:restartNumberingAfterBreak="0">
    <w:multiLevelType w:val="hybridMultilevel"/>
    <w:lvl w:ilvl="0" w:tentative="1">
      <w:start w:val="1"/>
      <w:numFmt w:val="decimal"/>
      <w:lvlText w:val="%1."/>
      <w:lvlJc w:val="left"/>
      <w:pPr>
        <w:ind w:left="420" w:hanging="300"/>
      </w:pPr>
    </w:lvl>
  </w:abstractNum>
  <w:abstractNum w:abstractNumId="5" w15:restartNumberingAfterBreak="0">
    <w:multiLevelType w:val="hybridMultilevel"/>
    <w:lvl w:ilvl="0" w:tentative="1">
      <w:start w:val="1"/>
      <w:numFmt w:val="decimal"/>
      <w:lvlText w:val="%1."/>
      <w:lvlJc w:val="left"/>
      <w:pPr>
        <w:ind w:left="420" w:hanging="300"/>
      </w:pPr>
    </w:lvl>
  </w:abstractNum>
  <w:abstractNum w:abstractNumId="6" w15:restartNumberingAfterBreak="0">
    <w:multiLevelType w:val="hybridMultilevel"/>
    <w:lvl w:ilvl="0" w:tentative="1">
      <w:start w:val="1"/>
      <w:numFmt w:val="decimal"/>
      <w:lvlText w:val="%1."/>
      <w:lvlJc w:val="left"/>
      <w:pPr>
        <w:ind w:left="420" w:hanging="300"/>
      </w:pPr>
    </w:lvl>
  </w:abstractNum>
  <w:abstractNum w:abstractNumId="7" w15:restartNumberingAfterBreak="0">
    <w:multiLevelType w:val="hybridMultilevel"/>
    <w:lvl w:ilvl="0" w:tentative="1">
      <w:start w:val="1"/>
      <w:numFmt w:val="decimal"/>
      <w:lvlText w:val="%1."/>
      <w:lvlJc w:val="left"/>
      <w:pPr>
        <w:ind w:left="420" w:hanging="30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4F0D70"/>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4F0D7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Règlement intérieur</dc:title>
  <dc:creator>UNISSON — Association Éducation Solidaire</dc:creator>
  <dc:description>Projet établi par le Conseil d'Administration le ___/___/2026 · Approuvé par l'Assemblée Générale Ordinaire du ___/___/20___ · Version 1.0</dc:description>
  <cp:lastModifiedBy>Un-named</cp:lastModifiedBy>
  <cp:revision>1</cp:revision>
  <dcterms:created xsi:type="dcterms:W3CDTF">2026-10-16T20:45:02.457Z</dcterms:created>
  <dcterms:modified xsi:type="dcterms:W3CDTF">2026-10-16T20:45:02.458Z</dcterms:modified>
</cp:coreProperties>
</file>

<file path=docProps/custom.xml><?xml version="1.0" encoding="utf-8"?>
<Properties xmlns="http://schemas.openxmlformats.org/officeDocument/2006/custom-properties" xmlns:vt="http://schemas.openxmlformats.org/officeDocument/2006/docPropsVTypes"/>
</file>