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 3.9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Procédure de relais et fiche de liaison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Transmission au CCAS de Gennevilliers (ou au service social compétent) dès le premier jour ouvré · Uniquement avec l'accord écrit de la personne</w:t>
      </w:r>
    </w:p>
    <w:p>
      <w:pPr>
        <w:pStyle w:val="Heading2"/>
      </w:pPr>
      <w:r>
        <w:t xml:space="preserve">Procédure de relais proposée au CCAS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UNISSON transmet la fiche de liaison au CCAS </w:t>
      </w:r>
      <w:r>
        <w:rPr>
          <w:b/>
          <w:bCs/>
        </w:rPr>
        <w:t xml:space="preserve">le premier jour ouvré</w:t>
      </w:r>
      <w:r>
        <w:t xml:space="preserve"> suivant toute mise à l'abri, par le canal convenu avec le service (courriel sécurisé ou remise en main propre).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 CCAS accuse réception et indique, si possible, le travailleur social référent.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UNISSON informe la personne du nom du service et de l'heure de son rendez-vous, et l'y accompagne si nécessaire.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À la sortie du dispositif, UNISSON transmet une fiche de sortie et clôt son intervention.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 point de coordination trimestriel permet de partager des données d'activité anonymisées.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Cette procédure est proposée au CCAS lors du rendez-vous de coordination (document 16). Si une convention de relais n'est pas possible, un échange de courriers actant ces modalités suffit dans un premier temps.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Fiche de liaison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transmission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Référence UNISSON (URG-2026-___)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Destinataire (service, nom du référent)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Émetteur (dirigeant UNISSON, téléphone) : </w:t>
      </w:r>
      <w:r>
        <w:rPr>
          <w:sz w:val="19"/>
          <w:szCs w:val="19"/>
        </w:rPr>
        <w:t xml:space="preserve">	</w:t>
      </w:r>
    </w:p>
    <w:p>
      <w:pPr>
        <w:pStyle w:val="Heading3"/>
      </w:pPr>
      <w:r>
        <w:t xml:space="preserve">Personne concernée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Nom, prénom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naissance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Composition du foyer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Coordonnées pour la joindre : </w:t>
      </w:r>
      <w:r>
        <w:rPr>
          <w:sz w:val="19"/>
          <w:szCs w:val="19"/>
        </w:rPr>
        <w:t xml:space="preserve">	</w:t>
      </w:r>
    </w:p>
    <w:p>
      <w:pPr>
        <w:pStyle w:val="Heading3"/>
      </w:pPr>
      <w:r>
        <w:t xml:space="preserve">Situation (éléments strictement utiles)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Style w:val="Heading3"/>
      </w:pPr>
      <w:r>
        <w:t xml:space="preserve">Mesures prises par UNISSON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Mise à l'abri du ___/___ au ___/___ — établissement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Appels au 115 (dates, heures, réponses)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Autres orientations : </w:t>
      </w:r>
      <w:r>
        <w:rPr>
          <w:sz w:val="19"/>
          <w:szCs w:val="19"/>
        </w:rPr>
        <w:t xml:space="preserve">	</w:t>
      </w:r>
    </w:p>
    <w:p>
      <w:pPr>
        <w:pStyle w:val="Heading3"/>
      </w:pPr>
      <w:r>
        <w:t xml:space="preserve">Demande au service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Style w:val="Heading3"/>
      </w:pPr>
      <w:r>
        <w:t xml:space="preserve">Consentement</w:t>
      </w:r>
    </w:p>
    <w:p>
      <w:pPr>
        <w:spacing w:after="100"/>
        <w:jc w:val="both"/>
      </w:pPr>
      <w:r>
        <w:t xml:space="preserve">La personne a consenti par écrit à la transmission de ces informations le ___/___/2026 (fiche d'intervention, partie 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Pour UNISSON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Accusé de réception du service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22 · Procédure de relais et fiche de liaison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relais et fiche de liaison</dc:title>
  <dc:creator>UNISSON — Association Éducation Solidaire</dc:creator>
  <dc:description>Transmission au CCAS de Gennevilliers (ou au service social compétent) dès le premier jour ouvré · Uniquement avec l'accord écrit de la personne</dc:description>
  <cp:lastModifiedBy>Un-named</cp:lastModifiedBy>
  <cp:revision>1</cp:revision>
  <dcterms:created xsi:type="dcterms:W3CDTF">2026-10-12T03:25:13.736Z</dcterms:created>
  <dcterms:modified xsi:type="dcterms:W3CDTF">2026-10-12T03:25:13.736Z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