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 3.12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Registre des prises en charge d'urgence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Tenu par le Trésorier · Anonymisé : seule la référence du dossier figure · Compteur du Fonds de Premier Secours Social</w:t>
      </w:r>
    </w:p>
    <w:p>
      <w:pPr>
        <w:spacing w:after="100"/>
        <w:jc w:val="both"/>
      </w:pPr>
      <w:r>
        <w:t xml:space="preserve">Plafond du fonds pour l'exercice : </w:t>
      </w:r>
      <w:r>
        <w:rPr>
          <w:b/>
          <w:bCs/>
        </w:rPr>
        <w:t xml:space="preserve">4 000 €</w:t>
      </w:r>
      <w:r>
        <w:t xml:space="preserve"> (premier palier) · Seuil d'alerte (70 %) : </w:t>
      </w:r>
      <w:r>
        <w:rPr>
          <w:b/>
          <w:bCs/>
        </w:rPr>
        <w:t xml:space="preserve">2 800 €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0"/>
        <w:gridCol w:w="850"/>
        <w:gridCol w:w="600"/>
        <w:gridCol w:w="600"/>
        <w:gridCol w:w="1250"/>
        <w:gridCol w:w="900"/>
        <w:gridCol w:w="1100"/>
        <w:gridCol w:w="1288"/>
        <w:gridCol w:w="900"/>
      </w:tblGrid>
      <w:tr>
        <w:trPr>
          <w:tblHeader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Référence</w:t>
            </w: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Entrée</w:t>
            </w: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Sortie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Pers.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Nuits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Hôtel</w:t>
            </w: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Coût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Solde du fonds</w:t>
            </w: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Relais</w:t>
            </w: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Débrief.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8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8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Dès que le solde atteint le seuil d'alerte de 70 %, le Trésorier convoque le Bureau. Le fonds ne passe jamais sous zéro : aucune mise à l'abri n'est autorisée sans solde suffisant pour la durée initiale.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24 · Registre des prises en charge d'urgence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des prises en charge d'urgence</dc:title>
  <dc:creator>UNISSON — Association Éducation Solidaire</dc:creator>
  <dc:description>Tenu par le Trésorier · Anonymisé : seule la référence du dossier figure · Compteur du Fonds de Premier Secours Social</dc:description>
  <cp:lastModifiedBy>Un-named</cp:lastModifiedBy>
  <cp:revision>1</cp:revision>
  <dcterms:created xsi:type="dcterms:W3CDTF">2026-10-14T17:41:55.129Z</dcterms:created>
  <dcterms:modified xsi:type="dcterms:W3CDTF">2026-10-14T17:41:55.129Z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