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b/>
          <w:sz w:val="32"/>
        </w:rPr>
        <w:t>补充材料</w:t>
      </w:r>
    </w:p>
    <w:p>
      <w:pPr>
        <w:ind w:firstLine="0"/>
        <w:jc w:val="center"/>
      </w:pPr>
      <w:r>
        <w:t>面向重复出示与选择性披露的LaZer匿名凭证实现优化</w:t>
      </w:r>
    </w:p>
    <w:p>
      <w:pPr>
        <w:ind w:firstLine="0"/>
      </w:pPr>
      <w:r>
        <w:t>本文件作为论文正文的补充材料，共S1—S5五节、表S1—S16；表S11另附续表。文献编号与术语沿用正文；本文件文末仅重列直接引用的文献[12]，其余文献信息同正文参考文献列表。</w:t>
      </w:r>
    </w:p>
    <w:p>
      <w:pPr>
        <w:ind w:firstLine="0"/>
      </w:pPr>
      <w:r>
        <w:t>S1：历史累积消融；S2：历史回归与批次结果；S3：主实验补充结果；S4：复现标识与接口说明；S5：主实验固定种子、签发与影子诊断明细。</w:t>
      </w:r>
    </w:p>
    <w:p>
      <w:pPr>
        <w:ind w:firstLine="0"/>
      </w:pPr>
      <w:r>
        <w:t>数据说明：历史批次仅保留表格转录和验收摘要；本代码包不含其原始full归档。主实验原始记录、留档源码和证书随代码包保存。二者不混合统计。</w:t>
      </w:r>
      <w:r>
        <w:t xml:space="preserve"> 新增smoke与地址复用压力回归分别保留独立原始记录，不合并至E4主实验计时。</w:t>
      </w:r>
    </w:p>
    <w:p>
      <w:pPr>
        <w:pStyle w:val="Heading1"/>
        <w:keepNext/>
        <w:keepLines/>
        <w:pageBreakBefore w:val="0"/>
        <w:widowControl/>
        <w:spacing w:before="140" w:after="80" w:line="276" w:lineRule="auto"/>
        <w:ind w:left="0" w:right="0" w:firstLine="0"/>
        <w:jc w:val="both"/>
        <w:snapToGrid w:val="0"/>
      </w:pPr>
      <w:r>
        <w:rPr>
          <w:rFonts w:ascii="黑体" w:hAnsi="黑体" w:eastAsia="黑体" w:cs="Times New Roman"/>
          <w:sz w:val="28"/>
          <w:szCs w:val="28"/>
          <w:color w:val="000000"/>
          <w:b/>
        </w:rPr>
        <w:t xml:space="preserve">S1 历史累积消融</w:t>
      </w:r>
    </w:p>
    <w:p>
      <w:pPr>
        <w:keepNext w:val="0"/>
        <w:keepLines w:val="0"/>
        <w:pageBreakBefore w:val="0"/>
        <w:widowControl/>
        <w:spacing w:after="40" w:line="276" w:lineRule="auto" w:before="0"/>
        <w:ind w:left="0" w:right="0" w:firstLine="420"/>
        <w:jc w:val="left"/>
        <w:snapToGrid w:val="0"/>
      </w:pPr>
      <w:r>
        <w:rPr>
          <w:rFonts w:ascii="Times New Roman" w:hAnsi="Times New Roman" w:eastAsia="宋体" w:cs="Times New Roman"/>
          <w:sz w:val="21"/>
          <w:szCs w:val="21"/>
          <w:color w:val="000000"/>
          <w:b w:val="0"/>
        </w:rPr>
        <w:t xml:space="preserve">本节补充材料单列历史九级累积实验，其批次目录见补充材料S4。九种方案、三个计时批次、两类负载各200次，共10,800次正式会话，每方案每负载 </w:t>
      </w:r>
      <m:oMath>
        <m:r>
          <w:rPr>
            <w:rFonts w:ascii="Latin Modern Math" w:hAnsi="Latin Modern Math"/>
            <w:sz w:val="21"/>
          </w:rPr>
          <m:t>n</m:t>
        </m:r>
        <m:r>
          <m:rPr>
            <m:sty m:val="p"/>
          </m:rPr>
          <w:rPr>
            <w:rFonts w:ascii="Latin Modern Math" w:hAnsi="Latin Modern Math"/>
            <w:sz w:val="21"/>
            <w:i w:val="0"/>
          </w:rPr>
          <m:t>=</m:t>
        </m:r>
        <m:r>
          <w:rPr>
            <w:rFonts w:ascii="Latin Modern Math" w:hAnsi="Latin Modern Math"/>
            <w:sz w:val="21"/>
          </w:rPr>
          <m:t>600</m:t>
        </m:r>
      </m:oMath>
      <w:r>
        <w:rPr>
          <w:rFonts w:ascii="Times New Roman" w:hAnsi="Times New Roman" w:eastAsia="宋体" w:cs="Times New Roman"/>
          <w:sz w:val="21"/>
          <w:szCs w:val="21"/>
          <w:color w:val="000000"/>
          <w:b w:val="0"/>
        </w:rPr>
        <w:t xml:space="preserve">。性能计时采用默认验证；严格接口仅用于专项功能测试。三个批次按方案正序、反序、正序运行，与主实验的随机交错设计不同。机器同为i5-13400F、逻辑CPU 0、AVX2，未逐次测量频率与系统状态，不计算历史到主实验的跨批次加速比。27组各92项验收记录通过，1,333项批次哈希一致。历史核心库只有记录哈希，未留存对应二进制，证据强度与主实验分开。</w:t>
      </w:r>
      <w:fldSimple w:instr=" REF tblS1 \h ">
        <w:r>
          <w:rPr>
            <w:rFonts w:ascii="Times New Roman" w:hAnsi="Times New Roman" w:eastAsia="宋体" w:cs="Times New Roman"/>
            <w:sz w:val="21"/>
            <w:szCs w:val="21"/>
            <w:color w:val="000000"/>
            <w:b w:val="0"/>
          </w:rPr>
          <w:t xml:space="preserve">表S1</w:t>
        </w:r>
      </w:fldSimple>
      <w:r>
        <w:rPr>
          <w:rFonts w:ascii="Times New Roman" w:hAnsi="Times New Roman" w:eastAsia="宋体" w:cs="Times New Roman"/>
          <w:sz w:val="21"/>
          <w:szCs w:val="21"/>
          <w:color w:val="000000"/>
          <w:b w:val="0"/>
        </w:rPr>
        <w:t xml:space="preserve">给出固定币和构建标识，</w:t>
      </w:r>
      <w:fldSimple w:instr=" REF tblS2 \h ">
        <w:r>
          <w:rPr>
            <w:rFonts w:ascii="Times New Roman" w:hAnsi="Times New Roman" w:eastAsia="宋体" w:cs="Times New Roman"/>
            <w:sz w:val="21"/>
            <w:szCs w:val="21"/>
            <w:color w:val="000000"/>
            <w:b w:val="0"/>
          </w:rPr>
          <w:t xml:space="preserve">表S2</w:t>
        </w:r>
      </w:fldSimple>
      <w:r>
        <w:rPr>
          <w:rFonts w:ascii="Times New Roman" w:hAnsi="Times New Roman" w:eastAsia="宋体" w:cs="Times New Roman"/>
          <w:sz w:val="21"/>
          <w:szCs w:val="21"/>
          <w:color w:val="000000"/>
          <w:b w:val="0"/>
        </w:rPr>
        <w:t xml:space="preserve">、</w:t>
      </w:r>
      <w:fldSimple w:instr=" REF tblS3 \h ">
        <w:r>
          <w:rPr>
            <w:rFonts w:ascii="Times New Roman" w:hAnsi="Times New Roman" w:eastAsia="宋体" w:cs="Times New Roman"/>
            <w:sz w:val="21"/>
            <w:szCs w:val="21"/>
            <w:color w:val="000000"/>
            <w:b w:val="0"/>
          </w:rPr>
          <w:t xml:space="preserve">表S3</w:t>
        </w:r>
      </w:fldSimple>
      <w:r>
        <w:rPr>
          <w:rFonts w:ascii="Times New Roman" w:hAnsi="Times New Roman" w:eastAsia="宋体" w:cs="Times New Roman"/>
          <w:sz w:val="21"/>
          <w:szCs w:val="21"/>
          <w:color w:val="000000"/>
          <w:b w:val="0"/>
        </w:rPr>
        <w:t xml:space="preserve">分别汇总重复出示与会话重建，</w:t>
      </w:r>
      <w:fldSimple w:instr=" REF tblS4 \h ">
        <w:r>
          <w:rPr>
            <w:rFonts w:ascii="Times New Roman" w:hAnsi="Times New Roman" w:eastAsia="宋体" w:cs="Times New Roman"/>
            <w:sz w:val="21"/>
            <w:szCs w:val="21"/>
            <w:color w:val="000000"/>
            <w:b w:val="0"/>
          </w:rPr>
          <w:t xml:space="preserve">表S4</w:t>
        </w:r>
      </w:fldSimple>
      <w:r>
        <w:rPr>
          <w:rFonts w:ascii="Times New Roman" w:hAnsi="Times New Roman" w:eastAsia="宋体" w:cs="Times New Roman"/>
          <w:sz w:val="21"/>
          <w:szCs w:val="21"/>
          <w:color w:val="000000"/>
          <w:b w:val="0"/>
        </w:rPr>
        <w:t xml:space="preserve">列出生命周期和资源指标。</w:t>
      </w:r>
    </w:p>
    <w:p>
      <w:pPr>
        <w:pStyle w:val="Caption"/>
        <w:keepNext/>
        <w:keepLines/>
        <w:pageBreakBefore w:val="0"/>
        <w:widowControl/>
        <w:spacing w:before="80" w:after="100" w:line="276" w:lineRule="auto"/>
        <w:ind w:left="0" w:right="0" w:firstLine="0"/>
        <w:jc w:val="center"/>
        <w:snapToGrid w:val="0"/>
      </w:pPr>
      <w:bookmarkStart w:id="3040" w:name="tblS1"/>
      <w:r>
        <w:rPr>
          <w:rFonts w:ascii="Times New Roman" w:hAnsi="Times New Roman" w:eastAsia="宋体" w:cs="Times New Roman"/>
          <w:sz w:val="21"/>
          <w:szCs w:val="21"/>
          <w:color w:val="000000"/>
          <w:b/>
        </w:rPr>
        <w:t xml:space="preserve">表S1</w:t>
      </w:r>
      <w:bookmarkEnd w:id="3040"/>
      <w:r>
        <w:rPr>
          <w:rFonts w:ascii="Times New Roman" w:hAnsi="Times New Roman" w:eastAsia="宋体" w:cs="Times New Roman"/>
          <w:sz w:val="21"/>
          <w:szCs w:val="21"/>
          <w:color w:val="000000"/>
          <w:b/>
        </w:rPr>
        <w:t xml:space="preserve"> 历史批次 三种子固定币验证与构建标识</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907"/>
        <w:gridCol w:w="1417"/>
        <w:gridCol w:w="1984"/>
        <w:gridCol w:w="2381"/>
        <w:gridCol w:w="1617"/>
      </w:tblGrid>
      <w:tr>
        <w:trPr>
          <w:cantSplit/>
          <w:tblHeader/>
          <w:tblHeader/>
          <w:cantSplit/>
          <w:tblHeader/>
          <w:tblHeader/>
        </w:trPr>
        <w:tc>
          <w:tcPr>
            <w:tcW w:type="dxa" w:w="90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版本</w:t>
            </w:r>
          </w:p>
        </w:tc>
        <w:tc>
          <w:tcPr>
            <w:tcW w:type="dxa" w:w="14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核心库 SHA-256</w:t>
              <w:br/>
              <w:t>前 12 位</w:t>
            </w:r>
          </w:p>
        </w:tc>
        <w:tc>
          <w:tcPr>
            <w:tcW w:type="dxa" w:w="198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出示证明 SHA-256</w:t>
              <w:br/>
              <w:t xml:space="preserve">种子1前 16 位</w:t>
            </w:r>
          </w:p>
        </w:tc>
        <w:tc>
          <w:tcPr>
            <w:tcW w:type="dxa" w:w="2381"/>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种子1 / 2 / 3</w:t>
              <w:br/>
              <w:t xml:space="preserve">出示 字节数</w:t>
            </w:r>
          </w:p>
        </w:tc>
        <w:tc>
          <w:tcPr>
            <w:tcW w:type="dxa" w:w="16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三个种子与修正基线</w:t>
              <w:br/>
              <w:t xml:space="preserve">字节流一致</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原始实现</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5d1251bad89f</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617d51c4238f35ae</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29120 / 29102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否；原装行为</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修正基线</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23cc3faa684f</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复用组合</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d48d9975cb42</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双层复用</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12c110cb7e80</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连续点积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07bb1a25789f</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延后乘积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8e14a06b31e7</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模乘优化</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5a1818942b3a</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浮点候选</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bba452c38ed0</w:t>
            </w:r>
          </w:p>
        </w:tc>
        <w:tc>
          <w:tcPr>
            <w:tcW w:type="dxa" w:w="198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f63c278fbf1189b3</w:t>
            </w:r>
          </w:p>
        </w:tc>
        <w:tc>
          <w:tcPr>
            <w:tcW w:type="dxa" w:w="238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29121 / 29101 / 29092</w:t>
            </w:r>
          </w:p>
        </w:tc>
        <w:tc>
          <w:tcPr>
            <w:tcW w:type="dxa" w:w="16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是</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候选紧致</w:t>
            </w:r>
          </w:p>
        </w:tc>
        <w:tc>
          <w:tcPr>
            <w:tcW w:type="dxa" w:w="14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bba452c38ed0</w:t>
            </w:r>
          </w:p>
        </w:tc>
        <w:tc>
          <w:tcPr>
            <w:tcW w:type="dxa" w:w="198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2ac952f2395a9d47</w:t>
            </w:r>
          </w:p>
        </w:tc>
        <w:tc>
          <w:tcPr>
            <w:tcW w:type="dxa" w:w="2381"/>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28489 / 28476 / 28472</w:t>
            </w:r>
          </w:p>
        </w:tc>
        <w:tc>
          <w:tcPr>
            <w:tcW w:type="dxa" w:w="16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否；紧致格式</w:t>
            </w:r>
          </w:p>
        </w:tc>
      </w:tr>
    </w:tbl>
    <w:p>
      <w:pPr>
        <w:spacing w:line="20" w:lineRule="exact" w:before="0" w:after="0"/>
      </w:pPr>
    </w:p>
    <w:p>
      <w:pPr>
        <w:keepNext w:val="0"/>
        <w:keepLines w:val="0"/>
        <w:pageBreakBefore w:val="0"/>
        <w:widowControl/>
        <w:spacing w:after="40" w:line="276" w:lineRule="auto" w:before="0"/>
        <w:ind w:left="0" w:right="0" w:firstLine="420"/>
        <w:jc w:val="both"/>
        <w:snapToGrid w:val="0"/>
      </w:pPr>
      <w:r>
        <w:rPr>
          <w:rFonts w:ascii="Times New Roman" w:hAnsi="Times New Roman" w:eastAsia="宋体" w:cs="Times New Roman"/>
          <w:sz w:val="21"/>
          <w:szCs w:val="21"/>
          <w:color w:val="000000"/>
          <w:b w:val="0"/>
        </w:rPr>
        <w:t xml:space="preserve">修正基线至浮点候选在所测三个种子的请求、盲签名与证明字节一致，是有限回归证据；候选紧致在浮点候选上加入紧致化，格式不同。历史批次的种子1请求20,396 B，盲签名1,300 B；浮点候选→候选紧致三个种子减少632/625/620 B。此处与主实验批次的币规则和尺寸分开报告。</w:t>
      </w:r>
      <w:r>
        <w:t>主实验固定种子实例另见表S14，不以本节历史结果代替。</w:t>
      </w:r>
    </w:p>
    <w:p>
      <w:pPr>
        <w:pStyle w:val="Caption"/>
        <w:keepNext/>
        <w:keepLines/>
        <w:pageBreakBefore w:val="0"/>
        <w:widowControl/>
        <w:spacing w:before="80" w:after="100" w:line="276" w:lineRule="auto"/>
        <w:ind w:left="0" w:right="0" w:firstLine="0"/>
        <w:jc w:val="center"/>
        <w:snapToGrid w:val="0"/>
      </w:pPr>
      <w:bookmarkStart w:id="3041" w:name="tblS2"/>
      <w:r>
        <w:rPr>
          <w:rFonts w:ascii="Times New Roman" w:hAnsi="Times New Roman" w:eastAsia="宋体" w:cs="Times New Roman"/>
          <w:sz w:val="21"/>
          <w:szCs w:val="21"/>
          <w:color w:val="000000"/>
          <w:b/>
        </w:rPr>
        <w:t xml:space="preserve">表S2</w:t>
      </w:r>
      <w:bookmarkEnd w:id="3041"/>
      <w:r>
        <w:rPr>
          <w:rFonts w:ascii="Times New Roman" w:hAnsi="Times New Roman" w:eastAsia="宋体" w:cs="Times New Roman"/>
          <w:sz w:val="21"/>
          <w:szCs w:val="21"/>
          <w:color w:val="000000"/>
          <w:b/>
        </w:rPr>
        <w:t xml:space="preserve"> 历史批次 重复出示 累积结果 每版本 </w:t>
      </w:r>
      <m:oMath>
        <m:r>
          <w:rPr>
            <w:rFonts w:ascii="Latin Modern Math" w:hAnsi="Latin Modern Math"/>
            <w:sz w:val="20"/>
          </w:rPr>
          <m:t>n</m:t>
        </m:r>
        <m:r>
          <m:rPr>
            <m:sty m:val="p"/>
          </m:rPr>
          <w:rPr>
            <w:rFonts w:ascii="Latin Modern Math" w:hAnsi="Latin Modern Math"/>
            <w:sz w:val="20"/>
            <w:i w:val="0"/>
          </w:rPr>
          <m:t>=</m:t>
        </m:r>
        <m:r>
          <w:rPr>
            <w:rFonts w:ascii="Latin Modern Math" w:hAnsi="Latin Modern Math"/>
            <w:sz w:val="20"/>
          </w:rPr>
          <m:t>600</m:t>
        </m:r>
      </m:oMath>
      <w:r>
        <w:rPr>
          <w:rFonts w:ascii="Times New Roman" w:hAnsi="Times New Roman" w:eastAsia="宋体" w:cs="Times New Roman"/>
          <w:sz w:val="21"/>
          <w:szCs w:val="21"/>
          <w:color w:val="000000"/>
          <w:b/>
        </w:rPr>
        <w:t xml:space="preserve"> 时间单位 ms</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907"/>
        <w:gridCol w:w="1417"/>
        <w:gridCol w:w="1417"/>
        <w:gridCol w:w="2154"/>
        <w:gridCol w:w="567"/>
        <w:gridCol w:w="794"/>
        <w:gridCol w:w="1050"/>
      </w:tblGrid>
      <w:tr>
        <w:trPr>
          <w:cantSplit/>
          <w:tblHeader/>
          <w:tblHeader/>
          <w:cantSplit/>
          <w:tblHeader/>
          <w:tblHeader/>
        </w:trPr>
        <w:tc>
          <w:tcPr>
            <w:tcW w:type="dxa" w:w="90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版本</w:t>
            </w:r>
          </w:p>
        </w:tc>
        <w:tc>
          <w:tcPr>
            <w:tcW w:type="dxa" w:w="14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出示生成</w:t>
              <w:br/>
              <w:t xml:space="preserve">均值 / 中位</w:t>
            </w:r>
          </w:p>
        </w:tc>
        <w:tc>
          <w:tcPr>
            <w:tcW w:type="dxa" w:w="14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出示验证</w:t>
              <w:br/>
              <w:t xml:space="preserve">均值 / 中位</w:t>
            </w:r>
          </w:p>
        </w:tc>
        <w:tc>
          <w:tcPr>
            <w:tcW w:type="dxa" w:w="215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出示合计</w:t>
              <w:br/>
              <w:t>均值 / 中位 / P95</w:t>
            </w:r>
          </w:p>
        </w:tc>
        <w:tc>
          <w:tcPr>
            <w:tcW w:type="dxa" w:w="56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尝试数</w:t>
            </w:r>
            <m:oMath>
              <m:r>
                <w:rPr>
                  <w:rFonts w:ascii="Latin Modern Math" w:hAnsi="Latin Modern Math"/>
                  <w:sz w:val="17"/>
                </w:rPr>
                <m:t>K</m:t>
              </m:r>
            </m:oMath>
            <w:r>
              <w:rPr>
                <w:rFonts w:ascii="Times New Roman" w:hAnsi="Times New Roman" w:eastAsia="宋体" w:cs="Times New Roman"/>
                <w:sz w:val="18"/>
                <w:szCs w:val="18"/>
                <w:color w:val="000000"/>
                <w:b w:val="1"/>
              </w:rPr>
              <w:br/>
              <w:t xml:space="preserve">均值</w:t>
            </w:r>
          </w:p>
        </w:tc>
        <w:tc>
          <w:tcPr>
            <w:tcW w:type="dxa" w:w="79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回归</w:t>
              <w:br/>
            </w:r>
            <m:oMath>
              <m:r>
                <w:rPr>
                  <w:rFonts w:ascii="Latin Modern Math" w:hAnsi="Latin Modern Math"/>
                  <w:sz w:val="17"/>
                </w:rPr>
                <m:t>K</m:t>
              </m:r>
              <m:r>
                <m:rPr>
                  <m:sty m:val="p"/>
                </m:rPr>
                <w:rPr>
                  <w:rFonts w:ascii="Latin Modern Math" w:hAnsi="Latin Modern Math"/>
                  <w:sz w:val="17"/>
                  <w:i w:val="0"/>
                </w:rPr>
                <m:t>=</m:t>
              </m:r>
              <m:r>
                <w:rPr>
                  <w:rFonts w:ascii="Latin Modern Math" w:hAnsi="Latin Modern Math"/>
                  <w:sz w:val="17"/>
                </w:rPr>
                <m:t>5.5</m:t>
              </m:r>
            </m:oMath>
          </w:p>
        </w:tc>
        <w:tc>
          <w:tcPr>
            <w:tcW w:type="dxa" w:w="1050"/>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证明</w:t>
              <w:br/>
              <w:t>均值 B</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原始实现</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73.86 / 64.44</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33.98 / 34.41</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107.83 / 97.98 / 170.47</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6.26</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69.98</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29,116.30</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修正基线</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68.72 / 59.71</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29.80 / 29.12</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98.52 / 89.03 / 155.28</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6.22</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65.16</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29,115.88</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复用组合</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59.45 / 51.64</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20.95 / 21.29</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80.40 / 73.19 / 133.89</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6.69</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54.48</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29,115.08</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双层复用</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54.25 / 46.18</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18.75 / 18.79</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73.01 / 65.01 / 128.60</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6.49</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50.03</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29,116.19</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连续点积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49.08 / 42.08</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17.98 / 17.68</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67.06 / 59.94 / 112.83</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6.51</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44.98</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29,116.37</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延后乘积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48.77 / 41.90</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18.06 / 17.69</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66.83 / 60.03 / 117.92</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6.49</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44.84</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29,116.71</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模乘优化</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48.94 / 41.72</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17.23 / 16.86</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66.17 / 59.46 / 114.34</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6.69</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44.17</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29,115.63</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浮点候选</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46.45 / 38.62</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17.18 / 16.81</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63.64 / 56.20 / 112.21</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6.12</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43.98</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29,117.38</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候选紧致</w:t>
            </w:r>
          </w:p>
        </w:tc>
        <w:tc>
          <w:tcPr>
            <w:tcW w:type="dxa" w:w="14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45.91 / 39.10</w:t>
            </w:r>
          </w:p>
        </w:tc>
        <w:tc>
          <w:tcPr>
            <w:tcW w:type="dxa" w:w="14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16.38 / 16.00</w:t>
            </w:r>
          </w:p>
        </w:tc>
        <w:tc>
          <w:tcPr>
            <w:tcW w:type="dxa" w:w="215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62.30 / 55.44 / 109.87</w:t>
            </w:r>
          </w:p>
        </w:tc>
        <w:tc>
          <w:tcPr>
            <w:tcW w:type="dxa" w:w="56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6.42</w:t>
            </w:r>
          </w:p>
        </w:tc>
        <w:tc>
          <w:tcPr>
            <w:tcW w:type="dxa" w:w="79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42.36</w:t>
            </w:r>
          </w:p>
        </w:tc>
        <w:tc>
          <w:tcPr>
            <w:tcW w:type="dxa" w:w="1050"/>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28,494.20</w:t>
            </w:r>
          </w:p>
        </w:tc>
      </w:tr>
    </w:tbl>
    <w:p>
      <w:pPr>
        <w:pStyle w:val="Caption"/>
        <w:keepNext/>
        <w:keepLines/>
        <w:pageBreakBefore w:val="0"/>
        <w:widowControl/>
        <w:spacing w:before="80" w:after="100" w:line="276" w:lineRule="auto"/>
        <w:ind w:left="0" w:right="0" w:firstLine="0"/>
        <w:jc w:val="center"/>
        <w:snapToGrid w:val="0"/>
      </w:pPr>
      <w:bookmarkStart w:id="3042" w:name="tblS3"/>
      <w:r>
        <w:rPr>
          <w:rFonts w:ascii="Times New Roman" w:hAnsi="Times New Roman" w:eastAsia="宋体" w:cs="Times New Roman"/>
          <w:sz w:val="21"/>
          <w:szCs w:val="21"/>
          <w:color w:val="000000"/>
          <w:b/>
        </w:rPr>
        <w:t xml:space="preserve">表S3</w:t>
      </w:r>
      <w:bookmarkEnd w:id="3042"/>
      <w:r>
        <w:rPr>
          <w:rFonts w:ascii="Times New Roman" w:hAnsi="Times New Roman" w:eastAsia="宋体" w:cs="Times New Roman"/>
          <w:sz w:val="21"/>
          <w:szCs w:val="21"/>
          <w:color w:val="000000"/>
          <w:b/>
        </w:rPr>
        <w:t xml:space="preserve"> 历史批次 会话重建 累积结果 每版本 </w:t>
      </w:r>
      <m:oMath>
        <m:r>
          <w:rPr>
            <w:rFonts w:ascii="Latin Modern Math" w:hAnsi="Latin Modern Math"/>
            <w:sz w:val="20"/>
          </w:rPr>
          <m:t>n</m:t>
        </m:r>
        <m:r>
          <m:rPr>
            <m:sty m:val="p"/>
          </m:rPr>
          <w:rPr>
            <w:rFonts w:ascii="Latin Modern Math" w:hAnsi="Latin Modern Math"/>
            <w:sz w:val="20"/>
            <w:i w:val="0"/>
          </w:rPr>
          <m:t>=</m:t>
        </m:r>
        <m:r>
          <w:rPr>
            <w:rFonts w:ascii="Latin Modern Math" w:hAnsi="Latin Modern Math"/>
            <w:sz w:val="20"/>
          </w:rPr>
          <m:t>600</m:t>
        </m:r>
      </m:oMath>
      <w:r>
        <w:rPr>
          <w:rFonts w:ascii="Times New Roman" w:hAnsi="Times New Roman" w:eastAsia="宋体" w:cs="Times New Roman"/>
          <w:sz w:val="21"/>
          <w:szCs w:val="21"/>
          <w:color w:val="000000"/>
          <w:b/>
        </w:rPr>
        <w:t xml:space="preserve"> 时间单位 ms</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907"/>
        <w:gridCol w:w="1417"/>
        <w:gridCol w:w="1417"/>
        <w:gridCol w:w="2154"/>
        <w:gridCol w:w="567"/>
        <w:gridCol w:w="794"/>
        <w:gridCol w:w="1050"/>
      </w:tblGrid>
      <w:tr>
        <w:trPr>
          <w:cantSplit/>
          <w:tblHeader/>
          <w:tblHeader/>
          <w:cantSplit/>
          <w:tblHeader/>
          <w:tblHeader/>
        </w:trPr>
        <w:tc>
          <w:tcPr>
            <w:tcW w:type="dxa" w:w="90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版本</w:t>
            </w:r>
          </w:p>
        </w:tc>
        <w:tc>
          <w:tcPr>
            <w:tcW w:type="dxa" w:w="14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出示生成</w:t>
              <w:br/>
              <w:t xml:space="preserve">均值 / 中位</w:t>
            </w:r>
          </w:p>
        </w:tc>
        <w:tc>
          <w:tcPr>
            <w:tcW w:type="dxa" w:w="141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出示验证</w:t>
              <w:br/>
              <w:t xml:space="preserve">均值 / 中位</w:t>
            </w:r>
          </w:p>
        </w:tc>
        <w:tc>
          <w:tcPr>
            <w:tcW w:type="dxa" w:w="215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出示合计</w:t>
              <w:br/>
              <w:t>均值 / 中位 / P95</w:t>
            </w:r>
          </w:p>
        </w:tc>
        <w:tc>
          <w:tcPr>
            <w:tcW w:type="dxa" w:w="56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尝试数</w:t>
            </w:r>
            <m:oMath>
              <m:r>
                <w:rPr>
                  <w:rFonts w:ascii="Latin Modern Math" w:hAnsi="Latin Modern Math"/>
                  <w:sz w:val="17"/>
                </w:rPr>
                <m:t>K</m:t>
              </m:r>
            </m:oMath>
            <w:r>
              <w:rPr>
                <w:rFonts w:ascii="Times New Roman" w:hAnsi="Times New Roman" w:eastAsia="宋体" w:cs="Times New Roman"/>
                <w:sz w:val="18"/>
                <w:szCs w:val="18"/>
                <w:color w:val="000000"/>
                <w:b w:val="1"/>
              </w:rPr>
              <w:br/>
              <w:t xml:space="preserve">均值</w:t>
            </w:r>
          </w:p>
        </w:tc>
        <w:tc>
          <w:tcPr>
            <w:tcW w:type="dxa" w:w="79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回归</w:t>
              <w:br/>
            </w:r>
            <m:oMath>
              <m:r>
                <w:rPr>
                  <w:rFonts w:ascii="Latin Modern Math" w:hAnsi="Latin Modern Math"/>
                  <w:sz w:val="17"/>
                </w:rPr>
                <m:t>K</m:t>
              </m:r>
              <m:r>
                <m:rPr>
                  <m:sty m:val="p"/>
                </m:rPr>
                <w:rPr>
                  <w:rFonts w:ascii="Latin Modern Math" w:hAnsi="Latin Modern Math"/>
                  <w:sz w:val="17"/>
                  <w:i w:val="0"/>
                </w:rPr>
                <m:t>=</m:t>
              </m:r>
              <m:r>
                <w:rPr>
                  <w:rFonts w:ascii="Latin Modern Math" w:hAnsi="Latin Modern Math"/>
                  <w:sz w:val="17"/>
                </w:rPr>
                <m:t>5.5</m:t>
              </m:r>
            </m:oMath>
          </w:p>
        </w:tc>
        <w:tc>
          <w:tcPr>
            <w:tcW w:type="dxa" w:w="1050"/>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证明</w:t>
              <w:br/>
              <w:t>均值 B</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原始实现</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76.11 / 66.58</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35.90 / 35.01</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112.01 / 102.05 / 173.03</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6.38</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71.75</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29,116.68</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修正基线</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71.78 / 63.56</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32.69 / 31.98</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104.47 / 95.89 / 164.00</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6.12</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68.69</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29,115.99</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复用组合</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64.27 / 55.92</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26.69 / 27.07</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90.96 / 82.67 / 143.83</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6.45</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60.23</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29,116.74</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双层复用</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60.10 / 53.11</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26.34 / 25.70</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86.44 / 78.69 / 134.67</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5.96</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58.20</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29,116.13</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连续点积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58.32 / 50.55</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26.14 / 25.57</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84.46 / 76.35 / 134.33</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6.40</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54.59</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29,116.92</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延后乘积</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56.67 / 49.54</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25.83 / 25.35</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82.50 / 75.19 / 125.71</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6.23</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53.77</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29,116.03</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模乘优化</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54.91 / 47.68</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24.69 / 24.17</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79.60 / 71.95 / 125.25</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6.10</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52.52</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29,115.70</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浮点候选</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55.74 / 49.24</w:t>
            </w:r>
          </w:p>
        </w:tc>
        <w:tc>
          <w:tcPr>
            <w:tcW w:type="dxa" w:w="141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24.99 / 24.48</w:t>
            </w:r>
          </w:p>
        </w:tc>
        <w:tc>
          <w:tcPr>
            <w:tcW w:type="dxa" w:w="215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80.73 / 73.92 / 122.31</w:t>
            </w:r>
          </w:p>
        </w:tc>
        <w:tc>
          <w:tcPr>
            <w:tcW w:type="dxa" w:w="5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6.17</w:t>
            </w:r>
          </w:p>
        </w:tc>
        <w:tc>
          <w:tcPr>
            <w:tcW w:type="dxa" w:w="79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53.06</w:t>
            </w:r>
          </w:p>
        </w:tc>
        <w:tc>
          <w:tcPr>
            <w:tcW w:type="dxa" w:w="105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29,116.74</w:t>
            </w:r>
          </w:p>
        </w:tc>
      </w:tr>
      <w:tr>
        <w:trPr>
          <w:cantSplit/>
          <w:cantSplit/>
        </w:trPr>
        <w:tc>
          <w:tcPr>
            <w:tcW w:type="dxa" w:w="90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候选紧致</w:t>
            </w:r>
          </w:p>
        </w:tc>
        <w:tc>
          <w:tcPr>
            <w:tcW w:type="dxa" w:w="14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54.00 / 47.22</w:t>
            </w:r>
          </w:p>
        </w:tc>
        <w:tc>
          <w:tcPr>
            <w:tcW w:type="dxa" w:w="141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23.98 / 23.81</w:t>
            </w:r>
          </w:p>
        </w:tc>
        <w:tc>
          <w:tcPr>
            <w:tcW w:type="dxa" w:w="215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77.99 / 71.37 / 121.54</w:t>
            </w:r>
          </w:p>
        </w:tc>
        <w:tc>
          <w:tcPr>
            <w:tcW w:type="dxa" w:w="56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6.20</w:t>
            </w:r>
          </w:p>
        </w:tc>
        <w:tc>
          <w:tcPr>
            <w:tcW w:type="dxa" w:w="79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51.25</w:t>
            </w:r>
          </w:p>
        </w:tc>
        <w:tc>
          <w:tcPr>
            <w:tcW w:type="dxa" w:w="1050"/>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28,494.97</w:t>
            </w:r>
          </w:p>
        </w:tc>
      </w:tr>
    </w:tbl>
    <w:p>
      <w:pPr>
        <w:spacing w:line="20" w:lineRule="exact" w:before="0" w:after="0"/>
      </w:pPr>
    </w:p>
    <w:p>
      <w:pPr>
        <w:keepNext w:val="0"/>
        <w:keepLines w:val="0"/>
        <w:pageBreakBefore w:val="0"/>
        <w:widowControl/>
        <w:spacing w:after="40" w:line="276" w:lineRule="auto" w:before="0"/>
        <w:ind w:left="0" w:right="0" w:firstLine="420"/>
        <w:jc w:val="left"/>
        <w:snapToGrid w:val="0"/>
      </w:pPr>
      <w:r>
        <w:rPr>
          <w:rFonts w:ascii="Times New Roman" w:hAnsi="Times New Roman" w:eastAsia="宋体" w:cs="Times New Roman"/>
          <w:sz w:val="21"/>
          <w:szCs w:val="21"/>
          <w:color w:val="000000"/>
          <w:b w:val="0"/>
        </w:rPr>
        <w:t xml:space="preserve">历史批次相对修正基线，候选紧致的重复出示/会话重建出示均值分别降低36.77%/25.35%；模乘优化→浮点候选共同</w:t>
      </w:r>
      <m:oMath>
        <m:r>
          <w:rPr>
            <w:rFonts w:ascii="Latin Modern Math" w:hAnsi="Latin Modern Math"/>
            <w:sz w:val="21"/>
          </w:rPr>
          <m:t>K</m:t>
        </m:r>
      </m:oMath>
      <w:r>
        <w:rPr>
          <w:rFonts w:ascii="Times New Roman" w:hAnsi="Times New Roman" w:eastAsia="宋体" w:cs="Times New Roman"/>
          <w:sz w:val="21"/>
          <w:szCs w:val="21"/>
          <w:color w:val="000000"/>
          <w:b w:val="0"/>
        </w:rPr>
        <w:t xml:space="preserve">=5.5处的回归预测在重复出示下降0.42%，会话重建反而上升1.01%。累积步骤包含组合修改，且重试次数和时序可变，不能声称所有单步均独立显著。历史批次候选紧致的结果包含候选浮点判定，不作为主实验实现的数值正确性前提。</w:t>
      </w:r>
    </w:p>
    <w:p>
      <w:pPr>
        <w:pStyle w:val="Caption"/>
        <w:keepNext/>
        <w:keepLines/>
        <w:pageBreakBefore w:val="0"/>
        <w:widowControl/>
        <w:spacing w:before="80" w:after="100" w:line="276" w:lineRule="auto"/>
        <w:ind w:left="0" w:right="0" w:firstLine="0"/>
        <w:jc w:val="center"/>
        <w:snapToGrid w:val="0"/>
      </w:pPr>
      <w:bookmarkStart w:id="3043" w:name="tblS4"/>
      <w:r>
        <w:rPr>
          <w:rFonts w:ascii="Times New Roman" w:hAnsi="Times New Roman" w:eastAsia="宋体" w:cs="Times New Roman"/>
          <w:sz w:val="21"/>
          <w:szCs w:val="21"/>
          <w:color w:val="000000"/>
          <w:b/>
        </w:rPr>
        <w:t xml:space="preserve">表S4</w:t>
      </w:r>
      <w:bookmarkEnd w:id="3043"/>
      <w:r>
        <w:rPr>
          <w:rFonts w:ascii="Times New Roman" w:hAnsi="Times New Roman" w:eastAsia="宋体" w:cs="Times New Roman"/>
          <w:sz w:val="21"/>
          <w:szCs w:val="21"/>
          <w:color w:val="000000"/>
          <w:b/>
        </w:rPr>
        <w:t xml:space="preserve"> 历史批次 生命周期与资源指标 修正基线 模乘优化 候选紧致 对照</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3067"/>
        <w:gridCol w:w="1751"/>
        <w:gridCol w:w="1751"/>
        <w:gridCol w:w="1737"/>
      </w:tblGrid>
      <w:tr>
        <w:trPr>
          <w:cantSplit/>
          <w:tblHeader/>
          <w:tblHeader/>
          <w:cantSplit/>
          <w:tblHeader/>
          <w:tblHeader/>
        </w:trPr>
        <w:tc>
          <w:tcPr>
            <w:tcW w:type="dxa" w:w="306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指标与统计口径</w:t>
            </w:r>
          </w:p>
        </w:tc>
        <w:tc>
          <w:tcPr>
            <w:tcW w:type="dxa" w:w="1751"/>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修正基线</w:t>
            </w:r>
          </w:p>
        </w:tc>
        <w:tc>
          <w:tcPr>
            <w:tcW w:type="dxa" w:w="1751"/>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模乘优化</w:t>
            </w:r>
          </w:p>
        </w:tc>
        <w:tc>
          <w:tcPr>
            <w:tcW w:type="dxa" w:w="173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候选紧致（k=3）</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密钥生成 重复出示 / 会话重建；均值 ms；各 n=3</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4.93 / 5.59</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4.96 / 4.64</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4.93 / 5.08</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用户初始化；会话重建 均值±SD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27.28 ± 1.28</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28.64 ± 1.10</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28.84 ± 1.21</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发行者初始化；会话重建 均值±SD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9.42 ± 0.50</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10.85 ± 0.47</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11.16 ± 0.50</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验证者初始化；会话重建 均值±SD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17.73 ± 0.81</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17.59 ± 0.70</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17.47 ± 0.75</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签发证明生成；会话重建 均值 / 中位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36.28 / 31.93</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27.39 / 23.63</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26.70 / 22.92</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签发验证及签发；会话重建 均值 / 中位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16.59 / 16.21</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10.68 / 10.44</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10.84 / 10.63</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签发两段之和；会话重建 均值±SD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52.87 ± 14.10</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38.07 ± 13.53</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37.54 ± 12.80</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K=1 的 出示生成条件均值；重复出示 ms</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43.08（n=91）</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26.19（n=90）</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24.91（n=82）</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公钥 / 私钥 / 公共种子；B</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897 / 1281 / 96</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897 / 1281 / 96</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897 / 1281 / 96</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签发请求 / 盲凭证；会话重建 均值 B</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20,417.72 / 1,306.41</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20,417.45 / 1,305.99</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20,417.75 / 1,306.39</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出示证明 / 最小出示载荷；重复出示 均值 B</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29,115.88 / 29,139.88</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29,115.63 / 29,139.63</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28,494.20 / 28,518.20</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出示快速判定 / MPFR回退；两类负载合计</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未启用</w:t>
            </w:r>
          </w:p>
        </w:tc>
        <w:tc>
          <w:tcPr>
            <w:tcW w:type="dxa" w:w="175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未启用</w:t>
            </w:r>
          </w:p>
        </w:tc>
        <w:tc>
          <w:tcPr>
            <w:tcW w:type="dxa" w:w="173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9697 / 3654</w:t>
            </w:r>
          </w:p>
        </w:tc>
      </w:tr>
      <w:tr>
        <w:trPr>
          <w:cantSplit/>
          <w:cantSplit/>
        </w:trPr>
        <w:tc>
          <w:tcPr>
            <w:tcW w:type="dxa" w:w="306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峰值常驻内存；重复出示 / 会话重建 最大值 MiB</w:t>
            </w:r>
          </w:p>
        </w:tc>
        <w:tc>
          <w:tcPr>
            <w:tcW w:type="dxa" w:w="1751"/>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86.85 / 114.84</w:t>
            </w:r>
          </w:p>
        </w:tc>
        <w:tc>
          <w:tcPr>
            <w:tcW w:type="dxa" w:w="1751"/>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89.59 / 119.05</w:t>
            </w:r>
          </w:p>
        </w:tc>
        <w:tc>
          <w:tcPr>
            <w:tcW w:type="dxa" w:w="173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86.26 / 116.20</w:t>
            </w:r>
          </w:p>
        </w:tc>
      </w:tr>
    </w:tbl>
    <w:p>
      <w:pPr>
        <w:spacing w:line="20" w:lineRule="exact" w:before="0" w:after="0"/>
      </w:pPr>
    </w:p>
    <w:p>
      <w:pPr>
        <w:keepNext w:val="0"/>
        <w:keepLines w:val="0"/>
        <w:pageBreakBefore w:val="0"/>
        <w:widowControl/>
        <w:spacing w:after="40" w:line="276" w:lineRule="auto" w:before="0"/>
        <w:ind w:left="0" w:right="0" w:firstLine="420"/>
        <w:jc w:val="left"/>
        <w:snapToGrid w:val="0"/>
      </w:pPr>
      <w:r>
        <w:rPr>
          <w:rFonts w:ascii="Times New Roman" w:hAnsi="Times New Roman" w:eastAsia="宋体" w:cs="Times New Roman"/>
          <w:sz w:val="21"/>
          <w:szCs w:val="21"/>
          <w:color w:val="000000"/>
          <w:b w:val="0"/>
        </w:rPr>
        <w:t xml:space="preserve">SD为样本标准差。会话重建负载的初始化与签发不计入出示耗时，密钥生成每类负载仅测三次。签发两段为用户盲化请求与发行者验证签发之和，不含单列的持有者接收处理，不等于文献</w:t>
      </w:r>
      <w:r>
        <w:rPr>
          <w:rFonts w:ascii="Times New Roman" w:hAnsi="Times New Roman" w:eastAsia="宋体" w:cs="Times New Roman"/>
          <w:sz w:val="21"/>
          <w:szCs w:val="21"/>
          <w:color w:val="000000"/>
          <w:b w:val="0"/>
        </w:rPr>
        <w:t xml:space="preserve">[</w:t>
      </w:r>
      <w:r>
        <w:t>12</w:t>
      </w:r>
      <w:r>
        <w:rPr>
          <w:rFonts w:ascii="Times New Roman" w:hAnsi="Times New Roman" w:eastAsia="宋体" w:cs="Times New Roman"/>
          <w:sz w:val="21"/>
          <w:szCs w:val="21"/>
          <w:color w:val="000000"/>
          <w:b w:val="0"/>
        </w:rPr>
        <w:t xml:space="preserve">]</w:t>
      </w:r>
      <w:r>
        <w:rPr>
          <w:rFonts w:ascii="Times New Roman" w:hAnsi="Times New Roman" w:eastAsia="宋体" w:cs="Times New Roman"/>
          <w:sz w:val="21"/>
          <w:szCs w:val="21"/>
          <w:color w:val="000000"/>
          <w:b w:val="0"/>
        </w:rPr>
        <w:t xml:space="preserve">三步全流程。最小出示载荷为证明加24 B披露值，不含索引、协议标识及网络封装；完整公开属性接口容器为64 B。峰值常驻内存（RSS）表示进程高水位，不能精确归因于缓存。候选紧致在 </w:t>
      </w:r>
      <m:oMath>
        <m:r>
          <w:rPr>
            <w:rFonts w:ascii="Latin Modern Math" w:hAnsi="Latin Modern Math"/>
            <w:sz w:val="21"/>
          </w:rPr>
          <m:t>k</m:t>
        </m:r>
        <m:r>
          <m:rPr>
            <m:sty m:val="p"/>
          </m:rPr>
          <w:rPr>
            <w:rFonts w:ascii="Latin Modern Math" w:hAnsi="Latin Modern Math"/>
            <w:sz w:val="21"/>
            <w:i w:val="0"/>
          </w:rPr>
          <m:t>=</m:t>
        </m:r>
        <m:r>
          <w:rPr>
            <w:rFonts w:ascii="Latin Modern Math" w:hAnsi="Latin Modern Math"/>
            <w:sz w:val="21"/>
          </w:rPr>
          <m:t>0</m:t>
        </m:r>
        <m:r>
          <m:rPr>
            <m:sty m:val="p"/>
          </m:rPr>
          <w:rPr>
            <w:rFonts w:ascii="Latin Modern Math" w:hAnsi="Latin Modern Math"/>
            <w:sz w:val="21"/>
            <w:i w:val="0"/>
          </w:rPr>
          <m:t>,</m:t>
        </m:r>
        <m:r>
          <m:rPr>
            <m:sty m:val="p"/>
          </m:rPr>
          <w:rPr>
            <w:rFonts w:ascii="Latin Modern Math" w:hAnsi="Latin Modern Math"/>
            <w:sz w:val="21"/>
            <w:i w:val="0"/>
          </w:rPr>
          <m:t>…</m:t>
        </m:r>
        <m:r>
          <m:rPr>
            <m:sty m:val="p"/>
          </m:rPr>
          <w:rPr>
            <w:rFonts w:ascii="Latin Modern Math" w:hAnsi="Latin Modern Math"/>
            <w:sz w:val="21"/>
            <w:i w:val="0"/>
          </w:rPr>
          <m:t>,</m:t>
        </m:r>
        <m:r>
          <w:rPr>
            <w:rFonts w:ascii="Latin Modern Math" w:hAnsi="Latin Modern Math"/>
            <w:sz w:val="21"/>
          </w:rPr>
          <m:t>8</m:t>
        </m:r>
      </m:oMath>
      <w:r>
        <w:rPr>
          <w:rFonts w:ascii="Times New Roman" w:hAnsi="Times New Roman" w:eastAsia="宋体" w:cs="Times New Roman"/>
          <w:sz w:val="21"/>
          <w:szCs w:val="21"/>
          <w:color w:val="000000"/>
          <w:b w:val="0"/>
        </w:rPr>
        <w:t xml:space="preserve"> 的原单次大小观察依次为29,105、28,891、28,695、28,473、28,305、28,080、27,865、27,678、27,468 B；这些不是重复均值，正文采用主实验相同披露数量下的多次样本。</w:t>
      </w:r>
    </w:p>
    <w:p>
      <w:pPr>
        <w:pStyle w:val="Heading1"/>
        <w:keepNext/>
        <w:keepLines/>
        <w:pageBreakBefore w:val="0"/>
        <w:widowControl/>
        <w:spacing w:before="140" w:after="80" w:line="276" w:lineRule="auto"/>
        <w:ind w:left="0" w:right="0" w:firstLine="0"/>
        <w:jc w:val="both"/>
        <w:snapToGrid w:val="0"/>
      </w:pPr>
      <w:r>
        <w:rPr>
          <w:rFonts w:ascii="黑体" w:hAnsi="黑体" w:eastAsia="黑体" w:cs="Times New Roman"/>
          <w:sz w:val="28"/>
          <w:szCs w:val="28"/>
          <w:color w:val="000000"/>
          <w:b/>
        </w:rPr>
        <w:t xml:space="preserve">S2 历史回归与批次结果</w:t>
      </w:r>
    </w:p>
    <w:p>
      <w:pPr>
        <w:pStyle w:val="Caption"/>
        <w:keepNext/>
        <w:keepLines/>
        <w:pageBreakBefore w:val="0"/>
        <w:widowControl/>
        <w:spacing w:before="80" w:after="100" w:line="276" w:lineRule="auto"/>
        <w:ind w:left="0" w:right="0" w:firstLine="0"/>
        <w:jc w:val="center"/>
        <w:snapToGrid w:val="0"/>
      </w:pPr>
      <w:bookmarkStart w:id="3044" w:name="tblS5"/>
      <w:r>
        <w:rPr>
          <w:rFonts w:ascii="Times New Roman" w:hAnsi="Times New Roman" w:eastAsia="宋体" w:cs="Times New Roman"/>
          <w:sz w:val="21"/>
          <w:szCs w:val="21"/>
          <w:color w:val="000000"/>
          <w:b/>
        </w:rPr>
        <w:t xml:space="preserve">表S5</w:t>
      </w:r>
      <w:bookmarkEnd w:id="3044"/>
      <w:r>
        <w:rPr>
          <w:rFonts w:ascii="Times New Roman" w:hAnsi="Times New Roman" w:eastAsia="宋体" w:cs="Times New Roman"/>
          <w:sz w:val="21"/>
          <w:szCs w:val="21"/>
          <w:color w:val="000000"/>
          <w:b/>
        </w:rPr>
        <w:t xml:space="preserve"> 历史批次 合并样本回归参数 每行 </w:t>
      </w:r>
      <m:oMath>
        <m:r>
          <w:rPr>
            <w:rFonts w:ascii="Latin Modern Math" w:hAnsi="Latin Modern Math"/>
            <w:sz w:val="20"/>
          </w:rPr>
          <m:t>n</m:t>
        </m:r>
        <m:r>
          <m:rPr>
            <m:sty m:val="p"/>
          </m:rPr>
          <w:rPr>
            <w:rFonts w:ascii="Latin Modern Math" w:hAnsi="Latin Modern Math"/>
            <w:sz w:val="20"/>
            <w:i w:val="0"/>
          </w:rPr>
          <m:t>=</m:t>
        </m:r>
        <m:r>
          <w:rPr>
            <w:rFonts w:ascii="Latin Modern Math" w:hAnsi="Latin Modern Math"/>
            <w:sz w:val="20"/>
          </w:rPr>
          <m:t>600</m:t>
        </m:r>
      </m:oMath>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964"/>
        <w:gridCol w:w="964"/>
        <w:gridCol w:w="1757"/>
        <w:gridCol w:w="1757"/>
        <w:gridCol w:w="1361"/>
        <w:gridCol w:w="1503"/>
      </w:tblGrid>
      <w:tr>
        <w:trPr>
          <w:cantSplit/>
          <w:tblHeader/>
          <w:tblHeader/>
          <w:cantSplit/>
          <w:tblHeader/>
          <w:tblHeader/>
        </w:trPr>
        <w:tc>
          <w:tcPr>
            <w:tcW w:type="dxa" w:w="96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负载</w:t>
            </w:r>
          </w:p>
        </w:tc>
        <w:tc>
          <w:tcPr>
            <w:tcW w:type="dxa" w:w="964"/>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版本</w:t>
            </w:r>
          </w:p>
        </w:tc>
        <w:tc>
          <w:tcPr>
            <w:tcW w:type="dxa" w:w="175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r>
                <w:rPr>
                  <w:rFonts w:ascii="Latin Modern Math" w:hAnsi="Latin Modern Math"/>
                  <w:sz w:val="17"/>
                </w:rPr>
                <m:t>a</m:t>
              </m:r>
            </m:oMath>
            <w:r>
              <w:rPr>
                <w:rFonts w:ascii="Times New Roman" w:hAnsi="Times New Roman" w:eastAsia="宋体" w:cs="Times New Roman"/>
                <w:sz w:val="18"/>
                <w:szCs w:val="18"/>
                <w:color w:val="000000"/>
                <w:b w:val="1"/>
              </w:rPr>
              <w:t xml:space="preserve">（标准误）ms</w:t>
            </w:r>
          </w:p>
        </w:tc>
        <w:tc>
          <w:tcPr>
            <w:tcW w:type="dxa" w:w="1757"/>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r>
                <w:rPr>
                  <w:rFonts w:ascii="Latin Modern Math" w:hAnsi="Latin Modern Math"/>
                  <w:sz w:val="17"/>
                </w:rPr>
                <m:t>b</m:t>
              </m:r>
            </m:oMath>
            <w:r>
              <w:rPr>
                <w:rFonts w:ascii="Times New Roman" w:hAnsi="Times New Roman" w:eastAsia="宋体" w:cs="Times New Roman"/>
                <w:sz w:val="18"/>
                <w:szCs w:val="18"/>
                <w:color w:val="000000"/>
                <w:b w:val="1"/>
              </w:rPr>
              <w:t xml:space="preserve">（标准误）ms/次</w:t>
            </w:r>
          </w:p>
        </w:tc>
        <w:tc>
          <w:tcPr>
            <w:tcW w:type="dxa" w:w="1361"/>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sSup>
                <m:e>
                  <m:r>
                    <w:rPr>
                      <w:rFonts w:ascii="Latin Modern Math" w:hAnsi="Latin Modern Math"/>
                      <w:sz w:val="17"/>
                    </w:rPr>
                    <m:t>R</m:t>
                  </m:r>
                </m:e>
                <m:sup>
                  <m:r>
                    <w:rPr>
                      <w:rFonts w:ascii="Latin Modern Math" w:hAnsi="Latin Modern Math"/>
                      <w:sz w:val="17"/>
                    </w:rPr>
                    <m:t>2</m:t>
                  </m:r>
                </m:sup>
              </m:sSup>
            </m:oMath>
          </w:p>
        </w:tc>
        <w:tc>
          <w:tcPr>
            <w:tcW w:type="dxa" w:w="1503"/>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r>
                <w:rPr>
                  <w:rFonts w:ascii="Latin Modern Math" w:hAnsi="Latin Modern Math"/>
                  <w:sz w:val="17"/>
                </w:rPr>
                <m:t>K</m:t>
              </m:r>
            </m:oMath>
            <w:r>
              <w:rPr>
                <w:rFonts w:ascii="Times New Roman" w:hAnsi="Times New Roman" w:eastAsia="宋体" w:cs="Times New Roman"/>
                <w:sz w:val="18"/>
                <w:szCs w:val="18"/>
                <w:color w:val="000000"/>
                <w:b w:val="1"/>
              </w:rPr>
              <w:t xml:space="preserve"> 范围</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原始实现</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41.873（0.251）</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5.110（0.029）</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0.9809</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1～46</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修正基线</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37.839（0.194）</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4.967（0.022）</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0.9879</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1～48</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复用组合</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31.527（0.193）</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4.173（0.021）</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0.9849</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1～43</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双层复用</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26.634（0.189）</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4.254（0.021）</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0.9855</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1～38</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连续点积</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22.723（0.113）</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4.047（0.013）</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0.9940</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1～47</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延后乘积</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23.033（0.137）</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3.965（0.016）</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0.9907</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1～35</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模乘优化</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22.187（0.126）</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3.997（0.014）</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0.9927</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1～42</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浮点候选</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22.083（0.126）</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3.982（0.015）</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0.9920</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1～47</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候选紧致</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21.119（0.120）</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3.861（0.014）</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0.9924</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1～40</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原始实现</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44.443（0.209）</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4.964（0.024）</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0.9867</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1～40</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修正基线</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41.392（0.208）</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4.963（0.025）</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0.9851</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1～49</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复用组合</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36.767（0.216）</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4.265（0.024）</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0.9811</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1～48</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双层复用</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35.675（0.192）</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4.096（0.023）</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0.9808</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1～37</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连续点积</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31.896（0.152）</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4.126（0.018）</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0.9892</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1～36</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延后乘积</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31.850（0.140）</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3.985（0.016）</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0.9902</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1～47</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模乘优化</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30.674（0.129）</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3.973（0.016）</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0.9909</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1～33</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浮点候选</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31.104（0.147）</w:t>
            </w:r>
          </w:p>
        </w:tc>
        <w:tc>
          <w:tcPr>
            <w:tcW w:type="dxa" w:w="1757"/>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3.991（0.018）</w:t>
            </w:r>
          </w:p>
        </w:tc>
        <w:tc>
          <w:tcPr>
            <w:tcW w:type="dxa" w:w="1361"/>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0.9881</w:t>
            </w:r>
          </w:p>
        </w:tc>
        <w:tc>
          <w:tcPr>
            <w:tcW w:type="dxa" w:w="150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1～40</w:t>
            </w:r>
          </w:p>
        </w:tc>
      </w:tr>
      <w:tr>
        <w:trPr>
          <w:cantSplit/>
          <w:cantSplit/>
        </w:trPr>
        <w:tc>
          <w:tcPr>
            <w:tcW w:type="dxa" w:w="96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r>
          </w:p>
        </w:tc>
        <w:tc>
          <w:tcPr>
            <w:tcW w:type="dxa" w:w="964"/>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候选紧致</w:t>
            </w:r>
          </w:p>
        </w:tc>
        <w:tc>
          <w:tcPr>
            <w:tcW w:type="dxa" w:w="175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29.725（0.149）</w:t>
            </w:r>
          </w:p>
        </w:tc>
        <w:tc>
          <w:tcPr>
            <w:tcW w:type="dxa" w:w="1757"/>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3.914（0.018）</w:t>
            </w:r>
          </w:p>
        </w:tc>
        <w:tc>
          <w:tcPr>
            <w:tcW w:type="dxa" w:w="1361"/>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0.9874</w:t>
            </w:r>
          </w:p>
        </w:tc>
        <w:tc>
          <w:tcPr>
            <w:tcW w:type="dxa" w:w="1503"/>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1～35</w:t>
            </w:r>
          </w:p>
        </w:tc>
      </w:tr>
    </w:tbl>
    <w:p>
      <w:pPr>
        <w:spacing w:line="20" w:lineRule="exact" w:before="0" w:after="0"/>
      </w:pPr>
    </w:p>
    <w:p>
      <w:pPr>
        <w:keepNext w:val="0"/>
        <w:keepLines w:val="0"/>
        <w:pageBreakBefore w:val="0"/>
        <w:widowControl/>
        <w:spacing w:after="40" w:line="276" w:lineRule="auto" w:before="0"/>
        <w:ind w:left="0" w:right="0" w:firstLine="420"/>
        <w:jc w:val="both"/>
        <w:snapToGrid w:val="0"/>
      </w:pPr>
      <w:fldSimple w:instr=" REF tblS5 \h ">
        <w:r>
          <w:rPr>
            <w:rFonts w:ascii="Times New Roman" w:hAnsi="Times New Roman" w:eastAsia="宋体" w:cs="Times New Roman"/>
            <w:sz w:val="21"/>
            <w:szCs w:val="21"/>
            <w:color w:val="000000"/>
            <w:b w:val="0"/>
          </w:rPr>
          <w:t xml:space="preserve">表S5</w:t>
        </w:r>
      </w:fldSimple>
      <w:r>
        <w:rPr>
          <w:rFonts w:ascii="Times New Roman" w:hAnsi="Times New Roman" w:eastAsia="宋体" w:cs="Times New Roman"/>
          <w:sz w:val="21"/>
          <w:szCs w:val="21"/>
          <w:color w:val="000000"/>
          <w:b w:val="0"/>
        </w:rPr>
        <w:t xml:space="preserve">给出合并样本回归参数，</w:t>
      </w:r>
      <w:fldSimple w:instr=" REF tblS6 \h ">
        <w:r>
          <w:rPr>
            <w:rFonts w:ascii="Times New Roman" w:hAnsi="Times New Roman" w:eastAsia="宋体" w:cs="Times New Roman"/>
            <w:sz w:val="21"/>
            <w:szCs w:val="21"/>
            <w:color w:val="000000"/>
            <w:b w:val="0"/>
          </w:rPr>
          <w:t xml:space="preserve">表S6</w:t>
        </w:r>
      </w:fldSimple>
      <w:r>
        <w:rPr>
          <w:rFonts w:ascii="Times New Roman" w:hAnsi="Times New Roman" w:eastAsia="宋体" w:cs="Times New Roman"/>
          <w:sz w:val="21"/>
          <w:szCs w:val="21"/>
          <w:color w:val="000000"/>
          <w:b w:val="0"/>
        </w:rPr>
        <w:t xml:space="preserve">给出同一计时批次中修正基线到候选紧致的变化，</w:t>
      </w:r>
      <w:fldSimple w:instr=" REF tblS7 \h ">
        <w:r>
          <w:rPr>
            <w:rFonts w:ascii="Times New Roman" w:hAnsi="Times New Roman" w:eastAsia="宋体" w:cs="Times New Roman"/>
            <w:sz w:val="21"/>
            <w:szCs w:val="21"/>
            <w:color w:val="000000"/>
            <w:b w:val="0"/>
          </w:rPr>
          <w:t xml:space="preserve">表S7</w:t>
        </w:r>
      </w:fldSimple>
      <w:r>
        <w:rPr>
          <w:rFonts w:ascii="Times New Roman" w:hAnsi="Times New Roman" w:eastAsia="宋体" w:cs="Times New Roman"/>
          <w:sz w:val="21"/>
          <w:szCs w:val="21"/>
          <w:color w:val="000000"/>
          <w:b w:val="0"/>
        </w:rPr>
        <w:t xml:space="preserve">给出 模乘优化到浮点候选的分批次与合并回归变化。括号为常规独立同方差线性模型标准误，只作拟合描述；会话嵌套在三个时间批次中，不当作跨计时批次重复实验的置信区间。a不是直接计时的固定成本，b不表示完整重试成本的因果分离。</w:t>
      </w:r>
    </w:p>
    <w:p>
      <w:pPr>
        <w:pStyle w:val="Caption"/>
        <w:keepNext/>
        <w:keepLines/>
        <w:pageBreakBefore w:val="0"/>
        <w:widowControl/>
        <w:spacing w:before="80" w:after="100" w:line="276" w:lineRule="auto"/>
        <w:ind w:left="0" w:right="0" w:firstLine="0"/>
        <w:jc w:val="center"/>
        <w:snapToGrid w:val="0"/>
      </w:pPr>
      <w:bookmarkStart w:id="3045" w:name="tblS6"/>
      <w:r>
        <w:rPr>
          <w:rFonts w:ascii="Times New Roman" w:hAnsi="Times New Roman" w:eastAsia="宋体" w:cs="Times New Roman"/>
          <w:sz w:val="21"/>
          <w:szCs w:val="21"/>
          <w:color w:val="000000"/>
          <w:b/>
        </w:rPr>
        <w:t xml:space="preserve">表S6</w:t>
      </w:r>
      <w:bookmarkEnd w:id="3045"/>
      <w:r>
        <w:rPr>
          <w:rFonts w:ascii="Times New Roman" w:hAnsi="Times New Roman" w:eastAsia="宋体" w:cs="Times New Roman"/>
          <w:sz w:val="21"/>
          <w:szCs w:val="21"/>
          <w:color w:val="000000"/>
          <w:b/>
        </w:rPr>
        <w:t xml:space="preserve"> 历史批次 同批次 修正基线 到 候选紧致 相对变化 正值为耗时下降百分比</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075"/>
        <w:gridCol w:w="596"/>
        <w:gridCol w:w="2390"/>
        <w:gridCol w:w="1315"/>
        <w:gridCol w:w="1315"/>
        <w:gridCol w:w="1615"/>
      </w:tblGrid>
      <w:tr>
        <w:trPr>
          <w:cantSplit/>
          <w:tblHeader/>
          <w:tblHeader/>
          <w:cantSplit/>
          <w:tblHeader/>
          <w:tblHeader/>
        </w:trPr>
        <w:tc>
          <w:tcPr>
            <w:tcW w:type="dxa" w:w="107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负载</w:t>
            </w:r>
          </w:p>
        </w:tc>
        <w:tc>
          <w:tcPr>
            <w:tcW w:type="dxa" w:w="59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批次</w:t>
            </w:r>
          </w:p>
        </w:tc>
        <w:tc>
          <w:tcPr>
            <w:tcW w:type="dxa" w:w="239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修正基线 / 候选紧致</w:t>
              <w:br/>
              <w:t xml:space="preserve">出示均值 ms</w:t>
            </w:r>
          </w:p>
        </w:tc>
        <w:tc>
          <w:tcPr>
            <w:tcW w:type="dxa" w:w="131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出示降幅</w:t>
            </w:r>
          </w:p>
        </w:tc>
        <w:tc>
          <w:tcPr>
            <w:tcW w:type="dxa" w:w="131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验证降幅</w:t>
            </w:r>
          </w:p>
        </w:tc>
        <w:tc>
          <w:tcPr>
            <w:tcW w:type="dxa" w:w="161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回归降幅</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59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w:t>
            </w:r>
          </w:p>
        </w:tc>
        <w:tc>
          <w:tcPr>
            <w:tcW w:type="dxa" w:w="239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99.36 / 61.64</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37.96%</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45.80%</w:t>
            </w:r>
          </w:p>
        </w:tc>
        <w:tc>
          <w:tcPr>
            <w:tcW w:type="dxa" w:w="16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35.82%</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59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w:t>
            </w:r>
          </w:p>
        </w:tc>
        <w:tc>
          <w:tcPr>
            <w:tcW w:type="dxa" w:w="239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99.18 / 61.03</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38.46%</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45.47%</w:t>
            </w:r>
          </w:p>
        </w:tc>
        <w:tc>
          <w:tcPr>
            <w:tcW w:type="dxa" w:w="16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35.34%</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59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w:t>
            </w:r>
          </w:p>
        </w:tc>
        <w:tc>
          <w:tcPr>
            <w:tcW w:type="dxa" w:w="239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97.03 / 64.22</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33.81%</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43.79%</w:t>
            </w:r>
          </w:p>
        </w:tc>
        <w:tc>
          <w:tcPr>
            <w:tcW w:type="dxa" w:w="16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33.79%</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59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w:t>
            </w:r>
          </w:p>
        </w:tc>
        <w:tc>
          <w:tcPr>
            <w:tcW w:type="dxa" w:w="239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107.95 / 80.29</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25.63%</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28.19%</w:t>
            </w:r>
          </w:p>
        </w:tc>
        <w:tc>
          <w:tcPr>
            <w:tcW w:type="dxa" w:w="16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26.83%</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59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w:t>
            </w:r>
          </w:p>
        </w:tc>
        <w:tc>
          <w:tcPr>
            <w:tcW w:type="dxa" w:w="239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102.67 / 78.20</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23.84%</w:t>
            </w:r>
          </w:p>
        </w:tc>
        <w:tc>
          <w:tcPr>
            <w:tcW w:type="dxa" w:w="13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23.71%</w:t>
            </w:r>
          </w:p>
        </w:tc>
        <w:tc>
          <w:tcPr>
            <w:tcW w:type="dxa" w:w="161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22.62%</w:t>
            </w:r>
          </w:p>
        </w:tc>
      </w:tr>
      <w:tr>
        <w:trPr>
          <w:cantSplit/>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59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w:t>
            </w:r>
          </w:p>
        </w:tc>
        <w:tc>
          <w:tcPr>
            <w:tcW w:type="dxa" w:w="239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102.78 / 75.47</w:t>
            </w:r>
          </w:p>
        </w:tc>
        <w:tc>
          <w:tcPr>
            <w:tcW w:type="dxa" w:w="131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26.57%</w:t>
            </w:r>
          </w:p>
        </w:tc>
        <w:tc>
          <w:tcPr>
            <w:tcW w:type="dxa" w:w="131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27.86%</w:t>
            </w:r>
          </w:p>
        </w:tc>
        <w:tc>
          <w:tcPr>
            <w:tcW w:type="dxa" w:w="161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26.65%</w:t>
            </w:r>
          </w:p>
        </w:tc>
      </w:tr>
    </w:tbl>
    <w:p>
      <w:pPr>
        <w:spacing w:line="20" w:lineRule="exact" w:before="0" w:after="0"/>
      </w:pPr>
    </w:p>
    <w:p>
      <w:pPr>
        <w:pStyle w:val="Caption"/>
        <w:keepNext/>
        <w:keepLines/>
        <w:pageBreakBefore w:val="0"/>
        <w:widowControl/>
        <w:spacing w:before="80" w:after="100" w:line="276" w:lineRule="auto"/>
        <w:ind w:left="0" w:right="0" w:firstLine="0"/>
        <w:jc w:val="center"/>
        <w:snapToGrid w:val="0"/>
      </w:pPr>
      <w:bookmarkStart w:id="3046" w:name="tblS7"/>
      <w:r>
        <w:rPr>
          <w:rFonts w:ascii="Times New Roman" w:hAnsi="Times New Roman" w:eastAsia="宋体" w:cs="Times New Roman"/>
          <w:sz w:val="21"/>
          <w:szCs w:val="21"/>
          <w:color w:val="000000"/>
          <w:b/>
        </w:rPr>
        <w:t xml:space="preserve">表S7</w:t>
      </w:r>
      <w:bookmarkEnd w:id="3046"/>
      <w:r>
        <w:rPr>
          <w:rFonts w:ascii="Times New Roman" w:hAnsi="Times New Roman" w:eastAsia="宋体" w:cs="Times New Roman"/>
          <w:sz w:val="21"/>
          <w:szCs w:val="21"/>
          <w:color w:val="000000"/>
          <w:b/>
        </w:rPr>
        <w:t xml:space="preserve"> 历史批次 模乘优化 到 浮点候选 的 回归 变化 正值为下降百分比</w:t>
      </w:r>
    </w:p>
    <w:tbl>
      <w:tblPr>
        <w:jc w:val="center"/>
        <w:tblLayout w:type="fixed"/>
        <w:tblLook w:firstColumn="1" w:firstRow="1" w:lastColumn="0" w:lastRow="0" w:noHBand="0" w:noVBand="1" w:val="04A0"/>
        <w:tblW w:type="dxa" w:w="3941"/>
        <w:tblBorders>
          <w:top w:val="single" w:sz="8" w:color="000000"/>
          <w:left w:val="nil" w:sz="8" w:color="000000"/>
          <w:bottom w:val="single" w:sz="8" w:color="000000"/>
          <w:right w:val="nil" w:sz="8" w:color="000000"/>
          <w:insideH w:val="nil" w:sz="8" w:color="000000"/>
          <w:insideV w:val="nil" w:sz="8" w:color="000000"/>
        </w:tblBorders>
      </w:tblPr>
      <w:tblGrid>
        <w:gridCol w:w="680"/>
        <w:gridCol w:w="624"/>
        <w:gridCol w:w="624"/>
        <w:gridCol w:w="624"/>
        <w:gridCol w:w="1389"/>
      </w:tblGrid>
      <w:tr>
        <w:trPr>
          <w:cantSplit/>
          <w:tblHeader/>
          <w:tblHeader/>
          <w:cantSplit/>
          <w:tblHeader/>
          <w:tblHeader/>
        </w:trPr>
        <w:tc>
          <w:tcPr>
            <w:tcW w:type="dxa" w:w="68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1"/>
              </w:rPr>
              <w:t>负载</w:t>
            </w:r>
          </w:p>
        </w:tc>
        <w:tc>
          <w:tcPr>
            <w:tcW w:type="dxa" w:w="624"/>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1"/>
              </w:rPr>
              <w:t xml:space="preserve">批次1</w:t>
            </w:r>
          </w:p>
        </w:tc>
        <w:tc>
          <w:tcPr>
            <w:tcW w:type="dxa" w:w="624"/>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1"/>
              </w:rPr>
              <w:t xml:space="preserve">批次2</w:t>
            </w:r>
          </w:p>
        </w:tc>
        <w:tc>
          <w:tcPr>
            <w:tcW w:type="dxa" w:w="624"/>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1"/>
              </w:rPr>
              <w:t xml:space="preserve">批次3</w:t>
            </w:r>
          </w:p>
        </w:tc>
        <w:tc>
          <w:tcPr>
            <w:tcW w:type="dxa" w:w="1389"/>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1"/>
              </w:rPr>
              <w:t>合并样本变化</w:t>
            </w:r>
          </w:p>
        </w:tc>
      </w:tr>
      <w:tr>
        <w:trPr>
          <w:cantSplit/>
          <w:cantSplit/>
        </w:trPr>
        <w:tc>
          <w:tcPr>
            <w:tcW w:type="dxa" w:w="68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 xml:space="preserve">重复出示</w:t>
            </w:r>
          </w:p>
        </w:tc>
        <w:tc>
          <w:tcPr>
            <w:tcW w:type="dxa" w:w="624"/>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-1.21%</w:t>
            </w:r>
          </w:p>
        </w:tc>
        <w:tc>
          <w:tcPr>
            <w:tcW w:type="dxa" w:w="624"/>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1.27%</w:t>
            </w:r>
          </w:p>
        </w:tc>
        <w:tc>
          <w:tcPr>
            <w:tcW w:type="dxa" w:w="624"/>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1.30%</w:t>
            </w:r>
          </w:p>
        </w:tc>
        <w:tc>
          <w:tcPr>
            <w:tcW w:type="dxa" w:w="1389"/>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0.42%</w:t>
            </w:r>
          </w:p>
        </w:tc>
      </w:tr>
      <w:tr>
        <w:trPr>
          <w:cantSplit/>
          <w:cantSplit/>
        </w:trPr>
        <w:tc>
          <w:tcPr>
            <w:tcW w:type="dxa" w:w="68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 xml:space="preserve">会话重建</w:t>
            </w:r>
          </w:p>
        </w:tc>
        <w:tc>
          <w:tcPr>
            <w:tcW w:type="dxa" w:w="624"/>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-1.90%</w:t>
            </w:r>
          </w:p>
        </w:tc>
        <w:tc>
          <w:tcPr>
            <w:tcW w:type="dxa" w:w="624"/>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-1.42%</w:t>
            </w:r>
          </w:p>
        </w:tc>
        <w:tc>
          <w:tcPr>
            <w:tcW w:type="dxa" w:w="624"/>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0.37%</w:t>
            </w:r>
          </w:p>
        </w:tc>
        <w:tc>
          <w:tcPr>
            <w:tcW w:type="dxa" w:w="1389"/>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7"/>
                <w:szCs w:val="18"/>
                <w:color w:val="000000"/>
                <w:b w:val="0"/>
              </w:rPr>
              <w:t>-1.01%</w:t>
            </w:r>
          </w:p>
        </w:tc>
      </w:tr>
    </w:tbl>
    <w:p>
      <w:pPr>
        <w:spacing w:line="20" w:lineRule="exact" w:before="0" w:after="0"/>
      </w:pPr>
    </w:p>
    <w:p>
      <w:pPr>
        <w:pStyle w:val="Heading1"/>
        <w:keepNext/>
        <w:keepLines/>
        <w:pageBreakBefore w:val="0"/>
        <w:widowControl/>
        <w:spacing w:before="140" w:after="80" w:line="276" w:lineRule="auto"/>
        <w:ind w:left="0" w:right="0" w:firstLine="0"/>
        <w:jc w:val="both"/>
        <w:snapToGrid w:val="0"/>
      </w:pPr>
      <w:r>
        <w:rPr>
          <w:rFonts w:ascii="黑体" w:hAnsi="黑体" w:eastAsia="黑体" w:cs="Times New Roman"/>
          <w:sz w:val="28"/>
          <w:szCs w:val="28"/>
          <w:color w:val="000000"/>
          <w:b/>
        </w:rPr>
        <w:t xml:space="preserve">S3 主实验补充结果</w:t>
      </w:r>
    </w:p>
    <w:p>
      <w:pPr>
        <w:keepNext w:val="0"/>
        <w:keepLines w:val="0"/>
        <w:pageBreakBefore w:val="0"/>
        <w:widowControl/>
        <w:spacing w:after="40" w:line="276" w:lineRule="auto" w:before="0"/>
        <w:ind w:left="0" w:right="0" w:firstLine="420"/>
        <w:jc w:val="both"/>
        <w:snapToGrid w:val="0"/>
      </w:pPr>
      <w:r>
        <w:t>配对测量块敏感性分析。严格验证下，填充优化（G3）与紧致优化（C3）按批次、测量块及生命周期配对。每类比较含30对测量块（3批，每批10块，每块每方案20次正式计时会话）。在原批次内有放回抽取测量块，共进行25,000次Bootstrap重采样（随机种子20261020），以合并均值之比计算百分位95%区间。重复出示的均值降幅为3.83%，区间为[−0.41%, 8.39%]；会话重建后出示的均值降幅为6.87%，区间为[2.82%, 10.69%]。两方案出示均值之差（填充减紧致，保留配对差的正负号）分别为2.66和6.21 ms，改善块数分别为15/30和21/30。区间以已记录的批次为条件，不代表独立日期或跨硬件的推断，也未调整拒绝采样尝试次数。本文附件提供独立重算脚本及两类负载各30组配对块CSV，供核查分层Bootstrap统计。</w:t>
      </w:r>
      <w:r>
        <w:t>本段对应正文第5.2节的紧致化增量分析。</w:t>
      </w:r>
    </w:p>
    <w:p>
      <w:pPr>
        <w:pStyle w:val="Caption"/>
        <w:keepNext/>
        <w:keepLines/>
        <w:pageBreakBefore w:val="0"/>
        <w:widowControl/>
        <w:spacing w:before="80" w:after="100" w:line="276" w:lineRule="auto"/>
        <w:ind w:left="0" w:right="0" w:firstLine="0"/>
        <w:jc w:val="center"/>
        <w:snapToGrid w:val="0"/>
      </w:pPr>
      <w:bookmarkStart w:id="3047" w:name="tblS8"/>
      <w:r>
        <w:rPr>
          <w:rFonts w:ascii="Times New Roman" w:hAnsi="Times New Roman" w:eastAsia="宋体" w:cs="Times New Roman"/>
          <w:sz w:val="21"/>
          <w:szCs w:val="21"/>
          <w:color w:val="000000"/>
          <w:b/>
        </w:rPr>
        <w:t xml:space="preserve">表S8</w:t>
      </w:r>
      <w:bookmarkEnd w:id="3047"/>
      <w:r>
        <w:rPr>
          <w:rFonts w:ascii="Times New Roman" w:hAnsi="Times New Roman" w:eastAsia="宋体" w:cs="Times New Roman"/>
          <w:sz w:val="21"/>
          <w:szCs w:val="21"/>
          <w:color w:val="000000"/>
          <w:b/>
        </w:rPr>
        <w:t xml:space="preserve"> 主实验批次 默认验证 接口结果 每格 </w:t>
      </w:r>
      <m:oMath>
        <m:r>
          <w:rPr>
            <w:rFonts w:ascii="Latin Modern Math" w:hAnsi="Latin Modern Math"/>
            <w:sz w:val="20"/>
          </w:rPr>
          <m:t>n</m:t>
        </m:r>
        <m:r>
          <m:rPr>
            <m:sty m:val="p"/>
          </m:rPr>
          <w:rPr>
            <w:rFonts w:ascii="Latin Modern Math" w:hAnsi="Latin Modern Math"/>
            <w:sz w:val="20"/>
            <w:i w:val="0"/>
          </w:rPr>
          <m:t>=</m:t>
        </m:r>
        <m:r>
          <w:rPr>
            <w:rFonts w:ascii="Latin Modern Math" w:hAnsi="Latin Modern Math"/>
            <w:sz w:val="20"/>
          </w:rPr>
          <m:t>600</m:t>
        </m:r>
      </m:oMath>
      <w:r>
        <w:rPr>
          <w:rFonts w:ascii="Times New Roman" w:hAnsi="Times New Roman" w:eastAsia="宋体" w:cs="Times New Roman"/>
          <w:sz w:val="21"/>
          <w:szCs w:val="21"/>
          <w:color w:val="000000"/>
          <w:b/>
        </w:rPr>
        <w:t xml:space="preserve"> 单位 ms</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075"/>
        <w:gridCol w:w="837"/>
        <w:gridCol w:w="1433"/>
        <w:gridCol w:w="1433"/>
        <w:gridCol w:w="1553"/>
        <w:gridCol w:w="1975"/>
      </w:tblGrid>
      <w:tr>
        <w:trPr>
          <w:cantSplit/>
          <w:tblHeader/>
          <w:tblHeader/>
        </w:trPr>
        <w:tc>
          <w:tcPr>
            <w:tcW w:type="dxa" w:w="107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负载</w:t>
            </w:r>
          </w:p>
        </w:tc>
        <w:tc>
          <w:tcPr>
            <w:tcW w:type="dxa" w:w="837"/>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版本</w:t>
            </w:r>
          </w:p>
        </w:tc>
        <w:tc>
          <w:tcPr>
            <w:tcW w:type="dxa" w:w="143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生成均值</w:t>
            </w:r>
          </w:p>
        </w:tc>
        <w:tc>
          <w:tcPr>
            <w:tcW w:type="dxa" w:w="143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验证均值</w:t>
            </w:r>
          </w:p>
        </w:tc>
        <w:tc>
          <w:tcPr>
            <w:tcW w:type="dxa" w:w="1553"/>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出示均值</w:t>
            </w:r>
          </w:p>
        </w:tc>
        <w:tc>
          <w:tcPr>
            <w:tcW w:type="dxa" w:w="1975"/>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回归 </w:t>
            </w:r>
            <m:oMath>
              <m:r>
                <w:rPr>
                  <w:rFonts w:ascii="Latin Modern Math" w:hAnsi="Latin Modern Math"/>
                  <w:sz w:val="17"/>
                </w:rPr>
                <m:t>K</m:t>
              </m:r>
              <m:r>
                <m:rPr>
                  <m:sty m:val="p"/>
                </m:rPr>
                <w:rPr>
                  <w:rFonts w:ascii="Latin Modern Math" w:hAnsi="Latin Modern Math"/>
                  <w:sz w:val="17"/>
                  <w:i w:val="0"/>
                </w:rPr>
                <m:t>=</m:t>
              </m:r>
              <m:r>
                <w:rPr>
                  <w:rFonts w:ascii="Latin Modern Math" w:hAnsi="Latin Modern Math"/>
                  <w:sz w:val="17"/>
                </w:rPr>
                <m:t>5.5</m:t>
              </m:r>
            </m:oMath>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修正基线</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76.57</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33.06</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109.63</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71.36</w:t>
            </w:r>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52.26</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19.22</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71.47</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48.29</w:t>
            </w:r>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重复出示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49.80</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18.22</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68.02</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46.19</w:t>
            </w:r>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修正基线</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80.46</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35.83</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116.29</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75.08</w:t>
            </w:r>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62.01</w:t>
            </w:r>
          </w:p>
        </w:tc>
        <w:tc>
          <w:tcPr>
            <w:tcW w:type="dxa" w:w="143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27.25</w:t>
            </w:r>
          </w:p>
        </w:tc>
        <w:tc>
          <w:tcPr>
            <w:tcW w:type="dxa" w:w="1553"/>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89.27</w:t>
            </w:r>
          </w:p>
        </w:tc>
        <w:tc>
          <w:tcPr>
            <w:tcW w:type="dxa" w:w="1975"/>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57.65</w:t>
            </w:r>
          </w:p>
        </w:tc>
      </w:tr>
      <w:tr>
        <w:trPr>
          <w:cantSplit/>
        </w:trPr>
        <w:tc>
          <w:tcPr>
            <w:tcW w:type="dxa" w:w="107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会话重建</w:t>
            </w:r>
          </w:p>
        </w:tc>
        <w:tc>
          <w:tcPr>
            <w:tcW w:type="dxa" w:w="837"/>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43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59.62</w:t>
            </w:r>
          </w:p>
        </w:tc>
        <w:tc>
          <w:tcPr>
            <w:tcW w:type="dxa" w:w="143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25.95</w:t>
            </w:r>
          </w:p>
        </w:tc>
        <w:tc>
          <w:tcPr>
            <w:tcW w:type="dxa" w:w="1553"/>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85.57</w:t>
            </w:r>
          </w:p>
        </w:tc>
        <w:tc>
          <w:tcPr>
            <w:tcW w:type="dxa" w:w="1975"/>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55.23</w:t>
            </w:r>
          </w:p>
        </w:tc>
      </w:tr>
    </w:tbl>
    <w:p>
      <w:pPr>
        <w:pStyle w:val="Caption"/>
        <w:keepNext/>
        <w:keepLines/>
        <w:pageBreakBefore w:val="0"/>
        <w:widowControl/>
        <w:spacing w:before="80" w:after="100" w:line="276" w:lineRule="auto"/>
        <w:ind w:left="0" w:right="0" w:firstLine="0"/>
        <w:jc w:val="center"/>
        <w:snapToGrid w:val="0"/>
      </w:pPr>
      <w:bookmarkStart w:id="3048" w:name="tblS9"/>
      <w:r>
        <w:rPr>
          <w:rFonts w:ascii="Times New Roman" w:hAnsi="Times New Roman" w:eastAsia="宋体" w:cs="Times New Roman"/>
          <w:sz w:val="21"/>
          <w:szCs w:val="21"/>
          <w:color w:val="000000"/>
          <w:b/>
        </w:rPr>
        <w:t xml:space="preserve">表S9</w:t>
      </w:r>
      <w:bookmarkEnd w:id="3048"/>
      <w:r>
        <w:rPr>
          <w:rFonts w:ascii="Times New Roman" w:hAnsi="Times New Roman" w:eastAsia="宋体" w:cs="Times New Roman"/>
          <w:sz w:val="21"/>
          <w:szCs w:val="21"/>
          <w:color w:val="000000"/>
          <w:b/>
        </w:rPr>
        <w:t xml:space="preserve"> 主实验批次 严格验证 模型与进程资源 每格 </w:t>
      </w:r>
      <m:oMath>
        <m:r>
          <w:rPr>
            <w:rFonts w:ascii="Latin Modern Math" w:hAnsi="Latin Modern Math"/>
            <w:sz w:val="20"/>
          </w:rPr>
          <m:t>n</m:t>
        </m:r>
        <m:r>
          <m:rPr>
            <m:sty m:val="p"/>
          </m:rPr>
          <w:rPr>
            <w:rFonts w:ascii="Latin Modern Math" w:hAnsi="Latin Modern Math"/>
            <w:sz w:val="20"/>
            <w:i w:val="0"/>
          </w:rPr>
          <m:t>=</m:t>
        </m:r>
        <m:r>
          <w:rPr>
            <w:rFonts w:ascii="Latin Modern Math" w:hAnsi="Latin Modern Math"/>
            <w:sz w:val="20"/>
          </w:rPr>
          <m:t>600</m:t>
        </m:r>
      </m:oMath>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089"/>
        <w:gridCol w:w="1838"/>
        <w:gridCol w:w="953"/>
        <w:gridCol w:w="1498"/>
        <w:gridCol w:w="1498"/>
        <w:gridCol w:w="1430"/>
      </w:tblGrid>
      <w:tr>
        <w:trPr>
          <w:cantSplit/>
          <w:tblHeader/>
          <w:tblHeader/>
        </w:trPr>
        <w:tc>
          <w:tcPr>
            <w:tcW w:type="dxa" w:w="1089"/>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负载</w:t>
              <w:br/>
              <w:t>版本</w:t>
            </w:r>
          </w:p>
        </w:tc>
        <w:tc>
          <w:tcPr>
            <w:tcW w:type="dxa" w:w="183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 xml:space="preserve">回归 </w:t>
            </w:r>
            <m:oMath>
              <m:r>
                <w:rPr>
                  <w:rFonts w:ascii="Latin Modern Math" w:hAnsi="Latin Modern Math"/>
                  <w:sz w:val="17"/>
                </w:rPr>
                <m:t>a</m:t>
              </m:r>
            </m:oMath>
            <w:r>
              <w:rPr>
                <w:rFonts w:ascii="Times New Roman" w:hAnsi="Times New Roman" w:eastAsia="宋体" w:cs="Times New Roman"/>
                <w:sz w:val="18"/>
                <w:szCs w:val="18"/>
                <w:color w:val="000000"/>
                <w:b w:val="1"/>
              </w:rPr>
              <w:t xml:space="preserve"> / </w:t>
            </w:r>
            <m:oMath>
              <m:r>
                <w:rPr>
                  <w:rFonts w:ascii="Latin Modern Math" w:hAnsi="Latin Modern Math"/>
                  <w:sz w:val="17"/>
                </w:rPr>
                <m:t>b</m:t>
              </m:r>
            </m:oMath>
          </w:p>
        </w:tc>
        <w:tc>
          <w:tcPr>
            <w:tcW w:type="dxa" w:w="953"/>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sSup>
                <m:e>
                  <m:r>
                    <w:rPr>
                      <w:rFonts w:ascii="Latin Modern Math" w:hAnsi="Latin Modern Math"/>
                      <w:sz w:val="17"/>
                    </w:rPr>
                    <m:t>R</m:t>
                  </m:r>
                </m:e>
                <m:sup>
                  <m:r>
                    <w:rPr>
                      <w:rFonts w:ascii="Latin Modern Math" w:hAnsi="Latin Modern Math"/>
                      <w:sz w:val="17"/>
                    </w:rPr>
                    <m:t>2</m:t>
                  </m:r>
                </m:sup>
              </m:sSup>
            </m:oMath>
          </w:p>
        </w:tc>
        <w:tc>
          <w:tcPr>
            <w:tcW w:type="dxa" w:w="149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生成CPU</w:t>
              <w:br/>
              <w:t>均值 ms</w:t>
            </w:r>
          </w:p>
        </w:tc>
        <w:tc>
          <w:tcPr>
            <w:tcW w:type="dxa" w:w="1498"/>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验证CPU</w:t>
              <w:br/>
              <w:t>均值 ms</w:t>
            </w:r>
          </w:p>
        </w:tc>
        <w:tc>
          <w:tcPr>
            <w:tcW w:type="dxa" w:w="1430"/>
            <w:vAlign w:val="center"/>
            <w:tcMar>
              <w:top w:w="35" w:type="dxa"/>
              <w:bottom w:w="35" w:type="dxa"/>
              <w:left w:w="55" w:type="dxa"/>
              <w:right w:w="5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1"/>
              </w:rPr>
              <w:t>峰值RSS</w:t>
              <w:br/>
              <w:t>MiB</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br/>
              <w:t xml:space="preserve">修正基线</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41.985 / 5.313</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0.99741</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76.29</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32.96</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68.95</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br/>
              <w:t xml:space="preserve">填充优化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24.459 / 4.338</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0.99722</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50.15</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19.27</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70.83</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重复出示</w:t>
              <w:br/>
              <w:t xml:space="preserve">紧致优化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23.306 / 4.199</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0.98999</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48.43</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18.33</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68.62</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br/>
              <w:t xml:space="preserve">修正基线</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45.622 / 5.404</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0.99221</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78.07</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35.94</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86.17</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br/>
              <w:t xml:space="preserve">填充优化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33.657 / 4.337</w:t>
            </w:r>
          </w:p>
        </w:tc>
        <w:tc>
          <w:tcPr>
            <w:tcW w:type="dxa" w:w="953"/>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0.99802</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63.13</w:t>
            </w:r>
          </w:p>
        </w:tc>
        <w:tc>
          <w:tcPr>
            <w:tcW w:type="dxa" w:w="1498"/>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27.20</w:t>
            </w:r>
          </w:p>
        </w:tc>
        <w:tc>
          <w:tcPr>
            <w:tcW w:type="dxa" w:w="1430"/>
            <w:vAlign w:val="center"/>
            <w:tcMar>
              <w:top w:w="35" w:type="dxa"/>
              <w:bottom w:w="35" w:type="dxa"/>
              <w:left w:w="55" w:type="dxa"/>
              <w:right w:w="5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90.78</w:t>
            </w:r>
          </w:p>
        </w:tc>
      </w:tr>
      <w:tr>
        <w:trPr>
          <w:cantSplit/>
        </w:trPr>
        <w:tc>
          <w:tcPr>
            <w:tcW w:type="dxa" w:w="1089"/>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 xml:space="preserve">会话重建</w:t>
              <w:br/>
              <w:t xml:space="preserve">紧致优化</w:t>
            </w:r>
          </w:p>
        </w:tc>
        <w:tc>
          <w:tcPr>
            <w:tcW w:type="dxa" w:w="183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32.258 / 4.194</w:t>
            </w:r>
          </w:p>
        </w:tc>
        <w:tc>
          <w:tcPr>
            <w:tcW w:type="dxa" w:w="953"/>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0.99372</w:t>
            </w:r>
          </w:p>
        </w:tc>
        <w:tc>
          <w:tcPr>
            <w:tcW w:type="dxa" w:w="149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58.13</w:t>
            </w:r>
          </w:p>
        </w:tc>
        <w:tc>
          <w:tcPr>
            <w:tcW w:type="dxa" w:w="1498"/>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25.99</w:t>
            </w:r>
          </w:p>
        </w:tc>
        <w:tc>
          <w:tcPr>
            <w:tcW w:type="dxa" w:w="1430"/>
            <w:vAlign w:val="center"/>
            <w:tcMar>
              <w:top w:w="35" w:type="dxa"/>
              <w:bottom w:w="35" w:type="dxa"/>
              <w:left w:w="55" w:type="dxa"/>
              <w:right w:w="5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8"/>
                <w:color w:val="000000"/>
                <w:b w:val="0"/>
              </w:rPr>
              <w:t>88.86</w:t>
            </w:r>
          </w:p>
        </w:tc>
      </w:tr>
    </w:tbl>
    <w:p>
      <w:pPr>
        <w:spacing w:line="20" w:lineRule="exact" w:before="0" w:after="0"/>
      </w:pPr>
    </w:p>
    <w:p>
      <w:pPr>
        <w:keepNext w:val="0"/>
        <w:keepLines w:val="0"/>
        <w:pageBreakBefore w:val="0"/>
        <w:widowControl/>
        <w:spacing w:after="40" w:line="276" w:lineRule="auto" w:before="0"/>
        <w:ind w:left="0" w:right="0" w:firstLine="420"/>
        <w:jc w:val="both"/>
        <w:snapToGrid w:val="0"/>
      </w:pPr>
      <w:r>
        <w:rPr>
          <w:rFonts w:ascii="Times New Roman" w:hAnsi="Times New Roman" w:eastAsia="宋体" w:cs="Times New Roman"/>
          <w:sz w:val="21"/>
          <w:szCs w:val="21"/>
          <w:color w:val="000000"/>
          <w:b w:val="0"/>
        </w:rPr>
        <w:t xml:space="preserve">CPU时间采用进程时间计数，墙钟耗时采用高精度单调计时器，均只覆盖本地操作。峰值常驻内存（RSS）包含导入、签发与其他对象，不能以填充优化和紧致优化的进程高水位差估算纯缓存增量；具体计时接口见补充材料S4。</w:t>
      </w:r>
    </w:p>
    <w:p>
      <w:pPr>
        <w:pStyle w:val="Caption"/>
        <w:keepNext/>
        <w:keepLines/>
        <w:pageBreakBefore w:val="0"/>
        <w:widowControl/>
        <w:spacing w:before="80" w:after="100" w:line="276" w:lineRule="auto"/>
        <w:ind w:left="0" w:right="0" w:firstLine="0"/>
        <w:jc w:val="center"/>
        <w:snapToGrid w:val="0"/>
      </w:pPr>
      <w:bookmarkStart w:id="3049" w:name="tblS10"/>
      <w:r>
        <w:rPr>
          <w:rFonts w:ascii="Times New Roman" w:hAnsi="Times New Roman" w:eastAsia="宋体" w:cs="Times New Roman"/>
          <w:sz w:val="21"/>
          <w:szCs w:val="21"/>
          <w:color w:val="000000"/>
          <w:b/>
        </w:rPr>
        <w:t xml:space="preserve">表S10</w:t>
      </w:r>
      <w:bookmarkEnd w:id="3049"/>
      <w:r>
        <w:rPr>
          <w:rFonts w:ascii="Times New Roman" w:hAnsi="Times New Roman" w:eastAsia="宋体" w:cs="Times New Roman"/>
          <w:sz w:val="21"/>
          <w:szCs w:val="21"/>
          <w:color w:val="000000"/>
          <w:b/>
        </w:rPr>
        <w:t xml:space="preserve"> 策略变化 严格验证 每格100次正式出示</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1100"/>
        <w:gridCol w:w="1200"/>
        <w:gridCol w:w="1800"/>
        <w:gridCol w:w="1100"/>
        <w:gridCol w:w="1500"/>
        <w:gridCol w:w="1606"/>
      </w:tblGrid>
      <w:tr>
        <w:trPr>
          <w:cantSplit/>
          <w:tblHeader/>
          <w:tblHeader/>
        </w:trPr>
        <w:tc>
          <w:tcPr>
            <w:tcW w:type="dxa" w:w="11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版本</w:t>
            </w:r>
          </w:p>
        </w:tc>
        <w:tc>
          <w:tcPr>
            <w:tcW w:type="dxa" w:w="12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策略</w:t>
            </w:r>
          </w:p>
        </w:tc>
        <w:tc>
          <w:tcPr>
            <w:tcW w:type="dxa" w:w="18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出示均值 ms</w:t>
            </w:r>
          </w:p>
        </w:tc>
        <w:tc>
          <w:tcPr>
            <w:tcW w:type="dxa" w:w="11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r>
                <w:rPr>
                  <w:rFonts w:ascii="Latin Modern Math" w:hAnsi="Latin Modern Math"/>
                  <w:sz w:val="17"/>
                </w:rPr>
                <m:t>K</m:t>
              </m:r>
            </m:oMath>
            <w:r>
              <w:rPr>
                <w:rFonts w:ascii="Times New Roman" w:hAnsi="Times New Roman" w:eastAsia="宋体" w:cs="Times New Roman"/>
                <w:sz w:val="18"/>
                <w:szCs w:val="17"/>
                <w:color w:val="000000"/>
                <w:b w:val="1"/>
              </w:rPr>
              <w:t>均值</w:t>
            </w:r>
          </w:p>
        </w:tc>
        <w:tc>
          <w:tcPr>
            <w:tcW w:type="dxa" w:w="15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命中事件</w:t>
            </w:r>
          </w:p>
        </w:tc>
        <w:tc>
          <w:tcPr>
            <w:tcW w:type="dxa" w:w="160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重建事件</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75.14</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5.90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87.79</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6.34</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双层复用</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84.97</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5.80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198</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69.76</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6.16</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74.80</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4.98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填充优化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82.07</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6.68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198</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固定</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67.84</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6.34</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交替</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74.76</w:t>
            </w:r>
          </w:p>
        </w:tc>
        <w:tc>
          <w:tcPr>
            <w:tcW w:type="dxa" w:w="11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5.88</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200</w:t>
            </w:r>
          </w:p>
        </w:tc>
      </w:tr>
      <w:tr>
        <w:trPr>
          <w:cantSplit/>
        </w:trPr>
        <w:tc>
          <w:tcPr>
            <w:tcW w:type="dxa" w:w="11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紧致优化</w:t>
            </w:r>
          </w:p>
        </w:tc>
        <w:tc>
          <w:tcPr>
            <w:tcW w:type="dxa" w:w="12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 xml:space="preserve">随机</w:t>
            </w:r>
          </w:p>
        </w:tc>
        <w:tc>
          <w:tcPr>
            <w:tcW w:type="dxa" w:w="18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73.96</w:t>
            </w:r>
          </w:p>
        </w:tc>
        <w:tc>
          <w:tcPr>
            <w:tcW w:type="dxa" w:w="11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5.58</w:t>
            </w:r>
          </w:p>
        </w:tc>
        <w:tc>
          <w:tcPr>
            <w:tcW w:type="dxa" w:w="15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w:t>
            </w:r>
          </w:p>
        </w:tc>
        <w:tc>
          <w:tcPr>
            <w:tcW w:type="dxa" w:w="160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198</w:t>
            </w:r>
          </w:p>
        </w:tc>
      </w:tr>
    </w:tbl>
    <w:p>
      <w:pPr>
        <w:pStyle w:val="Caption"/>
        <w:keepNext/>
        <w:keepLines/>
        <w:pageBreakBefore w:val="0"/>
        <w:widowControl/>
        <w:spacing w:before="80" w:after="100" w:line="276" w:lineRule="auto"/>
        <w:ind w:left="0" w:right="0" w:firstLine="0"/>
        <w:jc w:val="center"/>
        <w:snapToGrid w:val="0"/>
      </w:pPr>
      <w:bookmarkStart w:id="3050" w:name="tblS11"/>
      <w:r>
        <w:rPr>
          <w:rFonts w:ascii="Times New Roman" w:hAnsi="Times New Roman" w:eastAsia="宋体" w:cs="Times New Roman"/>
          <w:sz w:val="21"/>
          <w:szCs w:val="21"/>
          <w:color w:val="000000"/>
          <w:b/>
        </w:rPr>
        <w:t xml:space="preserve">表S11</w:t>
      </w:r>
      <w:bookmarkEnd w:id="3050"/>
      <w:r>
        <w:rPr>
          <w:rFonts w:ascii="Times New Roman" w:hAnsi="Times New Roman" w:eastAsia="宋体" w:cs="Times New Roman"/>
          <w:sz w:val="21"/>
          <w:szCs w:val="21"/>
          <w:color w:val="000000"/>
          <w:b/>
        </w:rPr>
        <w:t xml:space="preserve"> 相同公开属性数量的证明大小与出示耗时 每方案每个k为30次</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400"/>
        <w:gridCol w:w="1800"/>
        <w:gridCol w:w="1800"/>
        <w:gridCol w:w="1500"/>
        <w:gridCol w:w="1400"/>
        <w:gridCol w:w="1406"/>
      </w:tblGrid>
      <w:tr>
        <w:trPr>
          <w:cantSplit/>
          <w:tblHeader/>
          <w:tblHeader/>
        </w:trPr>
        <w:tc>
          <w:tcPr>
            <w:tcW w:type="dxa" w:w="4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k</w:t>
            </w:r>
          </w:p>
        </w:tc>
        <w:tc>
          <w:tcPr>
            <w:tcW w:type="dxa" w:w="18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填充优化大小均值 B</w:t>
            </w:r>
          </w:p>
        </w:tc>
        <w:tc>
          <w:tcPr>
            <w:tcW w:type="dxa" w:w="18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紧致优化大小均值 B</w:t>
            </w:r>
          </w:p>
        </w:tc>
        <w:tc>
          <w:tcPr>
            <w:tcW w:type="dxa" w:w="15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减少 B</w:t>
            </w:r>
          </w:p>
        </w:tc>
        <w:tc>
          <w:tcPr>
            <w:tcW w:type="dxa" w:w="14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填充优化出示 ms</w:t>
            </w:r>
          </w:p>
        </w:tc>
        <w:tc>
          <w:tcPr>
            <w:tcW w:type="dxa" w:w="140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紧致优化出示 ms</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29114.33</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29113.83</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0.50</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77.55</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71.95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29116.03</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28911.77</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204.27</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68.04</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71.27</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29113.17</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28707.57</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405.60</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66.70</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64.14</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29118.77</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28497.03</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621.73</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70.61</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70.54</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29116.57</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28285.90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830.67</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65.86</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69.65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29114.30</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28079.57</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1034.73</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75.48</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64.38</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29118.00</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27870.00</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1248.00</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73.58</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57.72</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29123.73</w:t>
            </w:r>
          </w:p>
        </w:tc>
        <w:tc>
          <w:tcPr>
            <w:tcW w:type="dxa" w:w="18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27663.97</w:t>
            </w:r>
          </w:p>
        </w:tc>
        <w:tc>
          <w:tcPr>
            <w:tcW w:type="dxa" w:w="15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1459.77</w:t>
            </w:r>
          </w:p>
        </w:tc>
        <w:tc>
          <w:tcPr>
            <w:tcW w:type="dxa" w:w="1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74.75</w:t>
            </w:r>
          </w:p>
        </w:tc>
        <w:tc>
          <w:tcPr>
            <w:tcW w:type="dxa" w:w="14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59.37</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w:t>
            </w:r>
          </w:p>
        </w:tc>
        <w:tc>
          <w:tcPr>
            <w:tcW w:type="dxa" w:w="18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29118.70</w:t>
            </w:r>
          </w:p>
        </w:tc>
        <w:tc>
          <w:tcPr>
            <w:tcW w:type="dxa" w:w="18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27460.07</w:t>
            </w:r>
          </w:p>
        </w:tc>
        <w:tc>
          <w:tcPr>
            <w:tcW w:type="dxa" w:w="15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1658.63</w:t>
            </w:r>
          </w:p>
        </w:tc>
        <w:tc>
          <w:tcPr>
            <w:tcW w:type="dxa" w:w="14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65.35</w:t>
            </w:r>
          </w:p>
        </w:tc>
        <w:tc>
          <w:tcPr>
            <w:tcW w:type="dxa" w:w="140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64.81</w:t>
            </w:r>
          </w:p>
        </w:tc>
      </w:tr>
    </w:tbl>
    <w:p>
      <w:pPr>
        <w:pStyle w:val="Caption"/>
        <w:keepNext/>
        <w:keepLines/>
        <w:pageBreakBefore w:val="0"/>
        <w:widowControl/>
        <w:spacing w:before="80" w:after="100" w:line="276" w:lineRule="auto"/>
        <w:ind w:left="0" w:right="0" w:firstLine="0"/>
        <w:jc w:val="center"/>
        <w:snapToGrid w:val="0"/>
      </w:pPr>
      <w:r>
        <w:rPr>
          <w:rFonts w:ascii="Times New Roman" w:hAnsi="Times New Roman" w:eastAsia="宋体" w:cs="Times New Roman"/>
          <w:sz w:val="21"/>
          <w:szCs w:val="21"/>
          <w:color w:val="000000"/>
          <w:b/>
        </w:rPr>
        <w:t>表S11续 相同公开属性数量的证明大小实际范围 单位B</w:t>
      </w:r>
    </w:p>
    <w:tbl>
      <w:tblPr>
        <w:tblW w:type="dxa" w:w="8306"/>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00"/>
        <w:gridCol w:w="1950"/>
        <w:gridCol w:w="1950"/>
        <w:gridCol w:w="1950"/>
        <w:gridCol w:w="1956"/>
      </w:tblGrid>
      <w:tr>
        <w:trPr>
          <w:cantSplit/>
          <w:tblHeader/>
        </w:trPr>
        <w:tc>
          <w:tcPr>
            <w:tcW w:type="dxa" w:w="50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k</w:t>
            </w:r>
          </w:p>
        </w:tc>
        <w:tc>
          <w:tcPr>
            <w:tcW w:type="dxa" w:w="19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填充优化</w:t>
              <w:br/>
              <w:t>最小值</w:t>
            </w:r>
          </w:p>
        </w:tc>
        <w:tc>
          <w:tcPr>
            <w:tcW w:type="dxa" w:w="19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填充优化</w:t>
              <w:br/>
              <w:t>最大值</w:t>
            </w:r>
          </w:p>
        </w:tc>
        <w:tc>
          <w:tcPr>
            <w:tcW w:type="dxa" w:w="19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紧致优化</w:t>
              <w:br/>
              <w:t>最小值</w:t>
            </w:r>
          </w:p>
        </w:tc>
        <w:tc>
          <w:tcPr>
            <w:tcW w:type="dxa" w:w="1956"/>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紧致优化</w:t>
              <w:br/>
              <w:t>最大值</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0</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29,094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29,149</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29,081</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29,154</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1</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29,081</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28,882</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28,944</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29,069</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29,146</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28,664</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28,745</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3</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29,086</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29,151</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28,464</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28,522</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29,081</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29,155</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28,255</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28,339</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5</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29,084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29,140</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28,045</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28,107</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6</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29,074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29,159</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27,828</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27,901</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7</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29,102</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29,154</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27,635</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27,706</w:t>
            </w:r>
          </w:p>
        </w:tc>
      </w:tr>
      <w:tr>
        <w:trPr>
          <w:cantSplit/>
        </w:trPr>
        <w:tc>
          <w:tcPr>
            <w:tcW w:type="dxa" w:w="5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8</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29,072</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29,149</w:t>
            </w:r>
          </w:p>
        </w:tc>
        <w:tc>
          <w:tcPr>
            <w:tcW w:type="dxa" w:w="19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27,436</w:t>
            </w:r>
          </w:p>
        </w:tc>
        <w:tc>
          <w:tcPr>
            <w:tcW w:type="dxa" w:w="195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27,495</w:t>
            </w:r>
          </w:p>
        </w:tc>
      </w:tr>
    </w:tbl>
    <w:p>
      <w:pPr>
        <w:spacing w:line="288" w:lineRule="auto" w:after="120"/>
      </w:pPr>
      <w:r>
        <w:t>表S11及续表对应正文第5.4节和图7。每个k、每种方案各30个新鲜证明，披露集合为D={0,…,k−1}；范围线表示实际最小/最大观察值，不是置信区间。k=0使用相同填充配置的独立采样。大小减少量由未舍入均值相减后单独显示，k=1、3、7与已舍入均值直接相减可相差0.01 B。k=1、4的紧致出示耗时高于填充的观察仍保留在原表中；跨k改变任务，不能据此作相同任务压缩比或单调加速推断。</w:t>
      </w:r>
    </w:p>
    <w:p>
      <w:pPr>
        <w:pStyle w:val="Caption"/>
        <w:keepNext/>
        <w:keepLines/>
        <w:pageBreakBefore w:val="0"/>
        <w:widowControl/>
        <w:spacing w:before="80" w:after="100" w:line="276" w:lineRule="auto"/>
        <w:ind w:left="0" w:right="0" w:firstLine="0"/>
        <w:jc w:val="center"/>
        <w:snapToGrid w:val="0"/>
      </w:pPr>
      <w:bookmarkStart w:id="3051" w:name="tblS12"/>
      <w:r>
        <w:rPr>
          <w:rFonts w:ascii="Times New Roman" w:hAnsi="Times New Roman" w:eastAsia="宋体" w:cs="Times New Roman"/>
          <w:sz w:val="21"/>
          <w:szCs w:val="21"/>
          <w:color w:val="000000"/>
          <w:b/>
        </w:rPr>
        <w:t xml:space="preserve">表S12</w:t>
      </w:r>
      <w:bookmarkEnd w:id="3051"/>
      <w:r>
        <w:rPr>
          <w:rFonts w:ascii="Times New Roman" w:hAnsi="Times New Roman" w:eastAsia="宋体" w:cs="Times New Roman"/>
          <w:sz w:val="21"/>
          <w:szCs w:val="21"/>
          <w:color w:val="000000"/>
          <w:b/>
        </w:rPr>
        <w:t xml:space="preserve"> 出示阶段全部披露数量的单项MSIS模型重算</w:t>
      </w:r>
    </w:p>
    <w:tbl>
      <w:tblPr>
        <w:jc w:val="center"/>
        <w:tblLayout w:type="fixed"/>
        <w:tblLook w:firstColumn="1" w:firstRow="1" w:lastColumn="0" w:lastRow="0" w:noHBand="0" w:noVBand="1" w:val="04A0"/>
        <w:tblW w:type="dxa" w:w="8306"/>
        <w:tblBorders>
          <w:top w:val="single" w:sz="8" w:color="000000"/>
          <w:left w:val="nil" w:sz="8" w:color="000000"/>
          <w:bottom w:val="single" w:sz="8" w:color="000000"/>
          <w:right w:val="nil" w:sz="8" w:color="000000"/>
          <w:insideH w:val="nil" w:sz="8" w:color="000000"/>
          <w:insideV w:val="nil" w:sz="8" w:color="000000"/>
        </w:tblBorders>
      </w:tblPr>
      <w:tblGrid>
        <w:gridCol w:w="400"/>
        <w:gridCol w:w="1700"/>
        <w:gridCol w:w="1700"/>
        <w:gridCol w:w="900"/>
        <w:gridCol w:w="3606"/>
      </w:tblGrid>
      <w:tr>
        <w:trPr>
          <w:cantSplit/>
          <w:tblHeader/>
          <w:tblHeader/>
        </w:trPr>
        <w:tc>
          <w:tcPr>
            <w:tcW w:type="dxa" w:w="4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k</w:t>
            </w:r>
          </w:p>
        </w:tc>
        <w:tc>
          <w:tcPr>
            <w:tcW w:type="dxa" w:w="17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sSub>
                <m:e>
                  <m:r>
                    <m:rPr>
                      <m:sty m:val="p"/>
                    </m:rPr>
                    <w:rPr>
                      <w:rFonts w:ascii="Latin Modern Math" w:hAnsi="Latin Modern Math"/>
                      <w:sz w:val="17"/>
                      <w:i w:val="0"/>
                    </w:rPr>
                    <m:t>log</m:t>
                  </m:r>
                </m:e>
                <m:sub>
                  <m:r>
                    <w:rPr>
                      <w:rFonts w:ascii="Latin Modern Math" w:hAnsi="Latin Modern Math"/>
                      <w:sz w:val="17"/>
                    </w:rPr>
                    <m:t>2</m:t>
                  </m:r>
                </m:sub>
              </m:sSub>
              <m:r>
                <w:rPr>
                  <w:rFonts w:ascii="Latin Modern Math" w:hAnsi="Latin Modern Math"/>
                  <w:sz w:val="17"/>
                </w:rPr>
                <m:t>B</m:t>
              </m:r>
            </m:oMath>
          </w:p>
        </w:tc>
        <w:tc>
          <w:tcPr>
            <w:tcW w:type="dxa" w:w="17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sSub>
                <m:e>
                  <m:r>
                    <w:rPr>
                      <w:rFonts w:ascii="Latin Modern Math" w:hAnsi="Latin Modern Math"/>
                      <w:sz w:val="17"/>
                    </w:rPr>
                    <m:t>δ</m:t>
                  </m:r>
                </m:e>
                <m:sub>
                  <m:r>
                    <w:rPr>
                      <w:rFonts w:ascii="Latin Modern Math" w:hAnsi="Latin Modern Math"/>
                      <w:sz w:val="17"/>
                    </w:rPr>
                    <m:t>0</m:t>
                  </m:r>
                </m:sub>
              </m:sSub>
            </m:oMath>
          </w:p>
        </w:tc>
        <w:tc>
          <w:tcPr>
            <w:tcW w:type="dxa" w:w="900"/>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m:oMath>
              <m:r>
                <w:rPr>
                  <w:rFonts w:ascii="Latin Modern Math" w:hAnsi="Latin Modern Math"/>
                  <w:sz w:val="17"/>
                </w:rPr>
                <m:t>β</m:t>
              </m:r>
            </m:oMath>
          </w:p>
        </w:tc>
        <w:tc>
          <w:tcPr>
            <w:tcW w:type="dxa" w:w="3606"/>
            <w:vAlign w:val="center"/>
            <w:tcMar>
              <w:top w:w="35" w:type="dxa"/>
              <w:bottom w:w="35" w:type="dxa"/>
              <w:left w:w="25" w:type="dxa"/>
              <w:right w:w="25" w:type="dxa"/>
            </w:tcMar>
            <w:tcBorders>
              <w:top w:val="single" w:sz="8" w:color="000000"/>
              <w:left w:val="nil" w:sz="8" w:color="000000"/>
              <w:right w:val="nil" w:sz="8" w:color="000000"/>
              <w:bottom w:val="single" w:sz="6" w:color="000000"/>
              <w:bottom w:val="single" w:sz="5"/>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1"/>
              </w:rPr>
              <w:t xml:space="preserve">经典 / 量子 </w:t>
            </w:r>
            <m:oMath>
              <m:sSub>
                <m:e>
                  <m:r>
                    <m:rPr>
                      <m:sty m:val="p"/>
                    </m:rPr>
                    <w:rPr>
                      <w:rFonts w:ascii="Latin Modern Math" w:hAnsi="Latin Modern Math"/>
                      <w:sz w:val="17"/>
                      <w:i w:val="0"/>
                    </w:rPr>
                    <m:t>log</m:t>
                  </m:r>
                </m:e>
                <m:sub>
                  <m:r>
                    <w:rPr>
                      <w:rFonts w:ascii="Latin Modern Math" w:hAnsi="Latin Modern Math"/>
                      <w:sz w:val="17"/>
                    </w:rPr>
                    <m:t>2</m:t>
                  </m:r>
                </m:sub>
              </m:sSub>
            </m:oMath>
            <w:r>
              <w:rPr>
                <w:rFonts w:ascii="Times New Roman" w:hAnsi="Times New Roman" w:eastAsia="宋体" w:cs="Times New Roman"/>
                <w:sz w:val="18"/>
                <w:szCs w:val="17"/>
                <w:color w:val="000000"/>
                <w:b w:val="1"/>
              </w:rPr>
              <w:t>成本</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0</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40.173114</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1.0043793</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40.160259</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1.0043765</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2</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40.147171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1.0043736</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349</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101.908 / 92.485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40.133841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1.0043707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350</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102.200 / 92.750</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40.120260</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1.0043678</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350</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102.200 / 92.750</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5</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40.106418</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1.0043647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6</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40.092305</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1.0043617</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7</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40.077911</w:t>
            </w:r>
          </w:p>
        </w:tc>
        <w:tc>
          <w:tcPr>
            <w:tcW w:type="dxa" w:w="17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1.0043585</w:t>
            </w:r>
          </w:p>
        </w:tc>
        <w:tc>
          <w:tcPr>
            <w:tcW w:type="dxa" w:w="900"/>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351</w:t>
            </w:r>
          </w:p>
        </w:tc>
        <w:tc>
          <w:tcPr>
            <w:tcW w:type="dxa" w:w="3606"/>
            <w:vAlign w:val="center"/>
            <w:tcMar>
              <w:top w:w="35" w:type="dxa"/>
              <w:bottom w:w="35" w:type="dxa"/>
              <w:left w:w="25" w:type="dxa"/>
              <w:right w:w="25" w:type="dxa"/>
            </w:tcMar>
            <w:tcBorders>
              <w:top w:val="nil" w:sz="8" w:color="000000"/>
              <w:left w:val="nil" w:sz="8" w:color="000000"/>
              <w:right w:val="nil" w:sz="8" w:color="000000"/>
              <w:bottom w:val="nil" w:sz="8" w:color="000000"/>
            </w:tcBorders>
          </w:tcPr>
          <w:p>
            <w:pPr>
              <w:keepNext/>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102.492 / 93.015</w:t>
            </w:r>
          </w:p>
        </w:tc>
      </w:tr>
      <w:tr>
        <w:trPr>
          <w:cantSplit/>
        </w:trPr>
        <w:tc>
          <w:tcPr>
            <w:tcW w:type="dxa" w:w="4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8</w:t>
            </w:r>
          </w:p>
        </w:tc>
        <w:tc>
          <w:tcPr>
            <w:tcW w:type="dxa" w:w="17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40.063224</w:t>
            </w:r>
          </w:p>
        </w:tc>
        <w:tc>
          <w:tcPr>
            <w:tcW w:type="dxa" w:w="17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1.0043553</w:t>
            </w:r>
          </w:p>
        </w:tc>
        <w:tc>
          <w:tcPr>
            <w:tcW w:type="dxa" w:w="900"/>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352</w:t>
            </w:r>
          </w:p>
        </w:tc>
        <w:tc>
          <w:tcPr>
            <w:tcW w:type="dxa" w:w="3606"/>
            <w:vAlign w:val="center"/>
            <w:tcMar>
              <w:top w:w="35" w:type="dxa"/>
              <w:bottom w:w="35" w:type="dxa"/>
              <w:left w:w="25" w:type="dxa"/>
              <w:right w:w="25" w:type="dxa"/>
            </w:tcMar>
            <w:tcBorders>
              <w:top w:val="nil" w:sz="8" w:color="000000"/>
              <w:left w:val="nil" w:sz="8" w:color="000000"/>
              <w:right w:val="nil" w:sz="8" w:color="000000"/>
              <w:bottom w:val="single" w:sz="8" w:color="000000"/>
            </w:tcBorders>
          </w:tcPr>
          <w:p>
            <w:pPr>
              <w:keepNext w:val="0"/>
              <w:keepLines/>
              <w:pageBreakBefore w:val="0"/>
              <w:widowControl/>
              <w:spacing w:before="40" w:after="40" w:line="252" w:lineRule="auto"/>
              <w:ind w:left="0" w:right="0" w:firstLine="0"/>
              <w:jc w:val="center"/>
              <w:snapToGrid w:val="0"/>
            </w:pPr>
            <w:r>
              <w:rPr>
                <w:rFonts w:ascii="Times New Roman" w:hAnsi="Times New Roman" w:eastAsia="宋体" w:cs="Times New Roman"/>
                <w:sz w:val="18"/>
                <w:szCs w:val="17"/>
                <w:color w:val="000000"/>
                <w:b w:val="0"/>
              </w:rPr>
              <w:t>102.784 / 93.280</w:t>
            </w:r>
          </w:p>
        </w:tc>
      </w:tr>
    </w:tbl>
    <w:p>
      <w:pPr>
        <w:spacing w:line="20" w:lineRule="exact" w:before="0" w:after="0"/>
      </w:pPr>
    </w:p>
    <w:p>
      <w:pPr>
        <w:keepNext w:val="0"/>
        <w:keepLines w:val="0"/>
        <w:pageBreakBefore w:val="0"/>
        <w:widowControl/>
        <w:spacing w:after="40" w:line="276" w:lineRule="auto" w:before="0"/>
        <w:ind w:left="0" w:right="0" w:firstLine="420"/>
        <w:jc w:val="both"/>
        <w:snapToGrid w:val="0"/>
      </w:pPr>
      <w:fldSimple w:instr=" REF tblS12 \h ">
        <w:r>
          <w:rPr>
            <w:rFonts w:ascii="Times New Roman" w:hAnsi="Times New Roman" w:eastAsia="宋体" w:cs="Times New Roman"/>
            <w:sz w:val="21"/>
            <w:szCs w:val="21"/>
            <w:color w:val="000000"/>
            <w:b w:val="0"/>
          </w:rPr>
          <w:t xml:space="preserve">表S12</w:t>
        </w:r>
      </w:fldSimple>
      <w:r>
        <w:rPr>
          <w:rFonts w:ascii="Times New Roman" w:hAnsi="Times New Roman" w:eastAsia="宋体" w:cs="Times New Roman"/>
          <w:sz w:val="21"/>
          <w:szCs w:val="21"/>
          <w:color w:val="000000"/>
          <w:b w:val="0"/>
        </w:rPr>
        <w:t>仅为同一通用MSIS模型与明确成本函数的维度扫描，不是所有k的MLWE、辅助原像、隐藏性及完整ROM/QROM安全审计。复核脚本和图表源表随补充材料保存；原始归档不作覆盖。</w:t>
      </w:r>
    </w:p>
    <w:p>
      <w:pPr>
        <w:pStyle w:val="Heading1"/>
        <w:keepNext/>
        <w:pageBreakBefore w:val="0"/>
      </w:pPr>
      <w:r>
        <w:rPr>
          <w:rFonts w:ascii="黑体" w:hAnsi="黑体" w:eastAsia="黑体"/>
          <w:b/>
          <w:sz w:val="28"/>
        </w:rPr>
        <w:t xml:space="preserve">S4 复现标识与接口说明</w:t>
      </w:r>
    </w:p>
    <w:p>
      <w:pPr/>
      <w:r>
        <w:t xml:space="preserve">本节补充材料将论文名称映射到实验包标识，便于定位数据。代号不表示新的密码参数、安全等级或理论贡献。</w:t>
      </w:r>
      <w:fldSimple w:instr=" REF tblS13 \h ">
        <w:r>
          <w:t xml:space="preserve">表S13</w:t>
        </w:r>
      </w:fldSimple>
      <w:r>
        <w:t xml:space="preserve">列出对应关系；正文与图表统一使用中文名称。</w:t>
      </w:r>
    </w:p>
    <w:p>
      <w:pPr>
        <w:pStyle w:val="Caption"/>
        <w:keepNext/>
        <w:keepLines/>
        <w:spacing w:after="100"/>
      </w:pPr>
      <w:bookmarkStart w:id="3052" w:name="tblS13"/>
      <w:r>
        <w:rPr>
          <w:b/>
          <w:sz w:val="21"/>
        </w:rPr>
        <w:t xml:space="preserve">表S13</w:t>
      </w:r>
      <w:bookmarkEnd w:id="3052"/>
      <w:r>
        <w:rPr>
          <w:b/>
          <w:sz w:val="21"/>
        </w:rPr>
        <w:t xml:space="preserve"> 论文名称与原实验代号</w:t>
      </w:r>
    </w:p>
    <w:tbl>
      <w:tblPr>
        <w:tblW w:type="dxa" w:w="8306"/>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500"/>
        <w:gridCol w:w="1000"/>
        <w:gridCol w:w="5806"/>
      </w:tblGrid>
      <w:tr>
        <w:trPr>
          <w:tblHeader/>
        </w:trPr>
        <w:tc>
          <w:tcPr>
            <w:tcW w:type="dxa" w:w="1500"/>
            <w:tcBorders>
              <w:bottom w:val="single" w:sz="5"/>
            </w:tcBorders>
          </w:tcPr>
          <w:p>
            <w:pPr>
              <w:keepNext/>
              <w:keepLines/>
              <w:spacing w:line="252" w:lineRule="auto" w:before="40" w:after="40"/>
              <w:ind w:firstLine="0"/>
            </w:pPr>
            <w:r>
              <w:rPr>
                <w:rFonts w:ascii="Times New Roman" w:hAnsi="Times New Roman" w:eastAsia="宋体"/>
                <w:sz w:val="18"/>
              </w:rPr>
              <w:t>论文名称</w:t>
            </w:r>
          </w:p>
        </w:tc>
        <w:tc>
          <w:tcPr>
            <w:tcW w:type="dxa" w:w="1000"/>
            <w:tcBorders>
              <w:bottom w:val="single" w:sz="5"/>
            </w:tcBorders>
          </w:tcPr>
          <w:p>
            <w:pPr>
              <w:keepNext/>
              <w:keepLines/>
              <w:spacing w:line="252" w:lineRule="auto" w:before="40" w:after="40"/>
              <w:ind w:firstLine="0"/>
            </w:pPr>
            <w:r>
              <w:rPr>
                <w:rFonts w:ascii="Times New Roman" w:hAnsi="Times New Roman" w:eastAsia="宋体"/>
                <w:sz w:val="18"/>
              </w:rPr>
              <w:t>实验代号</w:t>
            </w:r>
          </w:p>
        </w:tc>
        <w:tc>
          <w:tcPr>
            <w:tcW w:type="dxa" w:w="5806"/>
            <w:tcBorders>
              <w:bottom w:val="single" w:sz="5"/>
            </w:tcBorders>
          </w:tcPr>
          <w:p>
            <w:pPr>
              <w:keepNext/>
              <w:keepLines/>
              <w:spacing w:line="252" w:lineRule="auto" w:before="40" w:after="40"/>
              <w:ind w:firstLine="0"/>
            </w:pPr>
            <w:r>
              <w:rPr>
                <w:rFonts w:ascii="Times New Roman" w:hAnsi="Times New Roman" w:eastAsia="宋体"/>
                <w:sz w:val="18"/>
              </w:rPr>
              <w:t>作用或继承关系</w:t>
            </w:r>
          </w:p>
        </w:tc>
      </w:tr>
      <w:tr>
        <w:tc>
          <w:tcPr>
            <w:tcW w:type="dxa" w:w="1500"/>
          </w:tcPr>
          <w:p>
            <w:pPr>
              <w:keepNext/>
              <w:keepLines/>
              <w:spacing w:line="252" w:lineRule="auto" w:before="40" w:after="40"/>
              <w:ind w:firstLine="0"/>
            </w:pPr>
            <w:r>
              <w:rPr>
                <w:rFonts w:ascii="Times New Roman" w:hAnsi="Times New Roman" w:eastAsia="宋体"/>
                <w:sz w:val="18"/>
              </w:rPr>
              <w:t>原始实现</w:t>
            </w:r>
          </w:p>
        </w:tc>
        <w:tc>
          <w:tcPr>
            <w:tcW w:type="dxa" w:w="1000"/>
          </w:tcPr>
          <w:p>
            <w:pPr>
              <w:keepNext/>
              <w:keepLines/>
              <w:spacing w:line="252" w:lineRule="auto" w:before="40" w:after="40"/>
              <w:ind w:firstLine="0"/>
            </w:pPr>
            <w:r>
              <w:rPr>
                <w:rFonts w:ascii="Times New Roman" w:hAnsi="Times New Roman" w:eastAsia="宋体"/>
                <w:sz w:val="18"/>
              </w:rPr>
              <w:t>B0</w:t>
            </w:r>
          </w:p>
        </w:tc>
        <w:tc>
          <w:tcPr>
            <w:tcW w:type="dxa" w:w="5806"/>
          </w:tcPr>
          <w:p>
            <w:pPr>
              <w:keepNext/>
              <w:keepLines/>
              <w:spacing w:line="252" w:lineRule="auto" w:before="40" w:after="40"/>
              <w:ind w:firstLine="0"/>
            </w:pPr>
            <w:r>
              <w:rPr>
                <w:rFonts w:ascii="Times New Roman" w:hAnsi="Times New Roman" w:eastAsia="宋体"/>
                <w:sz w:val="18"/>
              </w:rPr>
              <w:t>固定原始行为，加计时探针</w:t>
            </w:r>
          </w:p>
        </w:tc>
      </w:tr>
      <w:tr>
        <w:tc>
          <w:tcPr>
            <w:tcW w:type="dxa" w:w="1500"/>
          </w:tcPr>
          <w:p>
            <w:pPr>
              <w:keepNext/>
              <w:keepLines/>
              <w:spacing w:line="252" w:lineRule="auto" w:before="40" w:after="40"/>
              <w:ind w:firstLine="0"/>
            </w:pPr>
            <w:r>
              <w:rPr>
                <w:rFonts w:ascii="Times New Roman" w:hAnsi="Times New Roman" w:eastAsia="宋体"/>
                <w:sz w:val="18"/>
              </w:rPr>
              <w:t>修正基线</w:t>
            </w:r>
          </w:p>
        </w:tc>
        <w:tc>
          <w:tcPr>
            <w:tcW w:type="dxa" w:w="1000"/>
          </w:tcPr>
          <w:p>
            <w:pPr>
              <w:keepNext/>
              <w:keepLines/>
              <w:spacing w:line="252" w:lineRule="auto" w:before="40" w:after="40"/>
              <w:ind w:firstLine="0"/>
            </w:pPr>
            <w:r>
              <w:rPr>
                <w:rFonts w:ascii="Times New Roman" w:hAnsi="Times New Roman" w:eastAsia="宋体"/>
                <w:sz w:val="18"/>
              </w:rPr>
              <w:t>B1</w:t>
            </w:r>
          </w:p>
        </w:tc>
        <w:tc>
          <w:tcPr>
            <w:tcW w:type="dxa" w:w="5806"/>
          </w:tcPr>
          <w:p>
            <w:pPr>
              <w:keepNext/>
              <w:keepLines/>
              <w:spacing w:line="252" w:lineRule="auto" w:before="40" w:after="40"/>
              <w:ind w:firstLine="0"/>
            </w:pPr>
            <w:r>
              <w:rPr>
                <w:rFonts w:ascii="Times New Roman" w:hAnsi="Times New Roman" w:eastAsia="宋体"/>
                <w:sz w:val="18"/>
              </w:rPr>
              <w:t>补齐校验、规范化和参数修正</w:t>
            </w:r>
          </w:p>
        </w:tc>
      </w:tr>
      <w:tr>
        <w:tc>
          <w:tcPr>
            <w:tcW w:type="dxa" w:w="1500"/>
          </w:tcPr>
          <w:p>
            <w:pPr>
              <w:keepNext/>
              <w:keepLines/>
              <w:spacing w:line="252" w:lineRule="auto" w:before="40" w:after="40"/>
              <w:ind w:firstLine="0"/>
            </w:pPr>
            <w:r>
              <w:rPr>
                <w:rFonts w:ascii="Times New Roman" w:hAnsi="Times New Roman" w:eastAsia="宋体"/>
                <w:sz w:val="18"/>
              </w:rPr>
              <w:t>复用组合</w:t>
            </w:r>
          </w:p>
        </w:tc>
        <w:tc>
          <w:tcPr>
            <w:tcW w:type="dxa" w:w="1000"/>
          </w:tcPr>
          <w:p>
            <w:pPr>
              <w:keepNext/>
              <w:keepLines/>
              <w:spacing w:line="252" w:lineRule="auto" w:before="40" w:after="40"/>
              <w:ind w:firstLine="0"/>
            </w:pPr>
            <w:r>
              <w:rPr>
                <w:rFonts w:ascii="Times New Roman" w:hAnsi="Times New Roman" w:eastAsia="宋体"/>
                <w:sz w:val="18"/>
              </w:rPr>
              <w:t>V0</w:t>
            </w:r>
          </w:p>
        </w:tc>
        <w:tc>
          <w:tcPr>
            <w:tcW w:type="dxa" w:w="5806"/>
          </w:tcPr>
          <w:p>
            <w:pPr>
              <w:keepNext/>
              <w:keepLines/>
              <w:spacing w:line="252" w:lineRule="auto" w:before="40" w:after="40"/>
              <w:ind w:firstLine="0"/>
            </w:pPr>
            <w:r>
              <w:rPr>
                <w:rFonts w:ascii="Times New Roman" w:hAnsi="Times New Roman" w:eastAsia="宋体"/>
                <w:sz w:val="18"/>
              </w:rPr>
              <w:t>脚本复用、不变量外提及部分定宽改动</w:t>
            </w:r>
          </w:p>
        </w:tc>
      </w:tr>
      <w:tr>
        <w:tc>
          <w:tcPr>
            <w:tcW w:type="dxa" w:w="1500"/>
          </w:tcPr>
          <w:p>
            <w:pPr>
              <w:keepNext/>
              <w:keepLines/>
              <w:spacing w:line="252" w:lineRule="auto" w:before="40" w:after="40"/>
              <w:ind w:firstLine="0"/>
            </w:pPr>
            <w:r>
              <w:rPr>
                <w:rFonts w:ascii="Times New Roman" w:hAnsi="Times New Roman" w:eastAsia="宋体"/>
                <w:sz w:val="18"/>
              </w:rPr>
              <w:t>双层复用</w:t>
            </w:r>
          </w:p>
        </w:tc>
        <w:tc>
          <w:tcPr>
            <w:tcW w:type="dxa" w:w="1000"/>
          </w:tcPr>
          <w:p>
            <w:pPr>
              <w:keepNext/>
              <w:keepLines/>
              <w:spacing w:line="252" w:lineRule="auto" w:before="40" w:after="40"/>
              <w:ind w:firstLine="0"/>
            </w:pPr>
            <w:r>
              <w:rPr>
                <w:rFonts w:ascii="Times New Roman" w:hAnsi="Times New Roman" w:eastAsia="宋体"/>
                <w:sz w:val="18"/>
              </w:rPr>
              <w:t>V1</w:t>
            </w:r>
          </w:p>
        </w:tc>
        <w:tc>
          <w:tcPr>
            <w:tcW w:type="dxa" w:w="5806"/>
          </w:tcPr>
          <w:p>
            <w:pPr>
              <w:keepNext/>
              <w:keepLines/>
              <w:spacing w:line="252" w:lineRule="auto" w:before="40" w:after="40"/>
              <w:ind w:firstLine="0"/>
            </w:pPr>
            <w:r>
              <w:rPr>
                <w:rFonts w:ascii="Times New Roman" w:hAnsi="Times New Roman" w:eastAsia="宋体"/>
                <w:sz w:val="18"/>
              </w:rPr>
              <w:t>在复用组合上加入底层缓存</w:t>
            </w:r>
          </w:p>
        </w:tc>
      </w:tr>
      <w:tr>
        <w:tc>
          <w:tcPr>
            <w:tcW w:type="dxa" w:w="1500"/>
          </w:tcPr>
          <w:p>
            <w:pPr>
              <w:keepNext/>
              <w:keepLines/>
              <w:spacing w:line="252" w:lineRule="auto" w:before="40" w:after="40"/>
              <w:ind w:firstLine="0"/>
            </w:pPr>
            <w:r>
              <w:rPr>
                <w:rFonts w:ascii="Times New Roman" w:hAnsi="Times New Roman" w:eastAsia="宋体"/>
                <w:sz w:val="18"/>
              </w:rPr>
              <w:t>连续点积</w:t>
            </w:r>
          </w:p>
        </w:tc>
        <w:tc>
          <w:tcPr>
            <w:tcW w:type="dxa" w:w="1000"/>
          </w:tcPr>
          <w:p>
            <w:pPr>
              <w:keepNext/>
              <w:keepLines/>
              <w:spacing w:line="252" w:lineRule="auto" w:before="40" w:after="40"/>
              <w:ind w:firstLine="0"/>
            </w:pPr>
            <w:r>
              <w:rPr>
                <w:rFonts w:ascii="Times New Roman" w:hAnsi="Times New Roman" w:eastAsia="宋体"/>
                <w:sz w:val="18"/>
              </w:rPr>
              <w:t>V2</w:t>
            </w:r>
          </w:p>
        </w:tc>
        <w:tc>
          <w:tcPr>
            <w:tcW w:type="dxa" w:w="5806"/>
          </w:tcPr>
          <w:p>
            <w:pPr>
              <w:keepNext/>
              <w:keepLines/>
              <w:spacing w:line="252" w:lineRule="auto" w:before="40" w:after="40"/>
              <w:ind w:firstLine="0"/>
            </w:pPr>
            <w:r>
              <w:rPr>
                <w:rFonts w:ascii="Times New Roman" w:hAnsi="Times New Roman" w:eastAsia="宋体"/>
                <w:sz w:val="18"/>
              </w:rPr>
              <w:t>在双层复用上增加连续数组点积</w:t>
            </w:r>
          </w:p>
        </w:tc>
      </w:tr>
      <w:tr>
        <w:tc>
          <w:tcPr>
            <w:tcW w:type="dxa" w:w="1500"/>
          </w:tcPr>
          <w:p>
            <w:pPr>
              <w:keepNext/>
              <w:keepLines/>
              <w:spacing w:line="252" w:lineRule="auto" w:before="40" w:after="40"/>
              <w:ind w:firstLine="0"/>
            </w:pPr>
            <w:r>
              <w:rPr>
                <w:rFonts w:ascii="Times New Roman" w:hAnsi="Times New Roman" w:eastAsia="宋体"/>
                <w:sz w:val="18"/>
              </w:rPr>
              <w:t>延后乘积</w:t>
            </w:r>
          </w:p>
        </w:tc>
        <w:tc>
          <w:tcPr>
            <w:tcW w:type="dxa" w:w="1000"/>
          </w:tcPr>
          <w:p>
            <w:pPr>
              <w:keepNext/>
              <w:keepLines/>
              <w:spacing w:line="252" w:lineRule="auto" w:before="40" w:after="40"/>
              <w:ind w:firstLine="0"/>
            </w:pPr>
            <w:r>
              <w:rPr>
                <w:rFonts w:ascii="Times New Roman" w:hAnsi="Times New Roman" w:eastAsia="宋体"/>
                <w:sz w:val="18"/>
              </w:rPr>
              <w:t>V3A</w:t>
            </w:r>
          </w:p>
        </w:tc>
        <w:tc>
          <w:tcPr>
            <w:tcW w:type="dxa" w:w="5806"/>
          </w:tcPr>
          <w:p>
            <w:pPr>
              <w:keepNext/>
              <w:keepLines/>
              <w:spacing w:line="252" w:lineRule="auto" w:before="40" w:after="40"/>
              <w:ind w:firstLine="0"/>
            </w:pPr>
            <w:r>
              <w:rPr>
                <w:rFonts w:ascii="Times New Roman" w:hAnsi="Times New Roman" w:eastAsia="宋体"/>
                <w:sz w:val="18"/>
              </w:rPr>
              <w:t>在连续点积上延后挑战乘积</w:t>
            </w:r>
          </w:p>
        </w:tc>
      </w:tr>
      <w:tr>
        <w:tc>
          <w:tcPr>
            <w:tcW w:type="dxa" w:w="1500"/>
          </w:tcPr>
          <w:p>
            <w:pPr>
              <w:keepNext/>
              <w:keepLines/>
              <w:spacing w:line="252" w:lineRule="auto" w:before="40" w:after="40"/>
              <w:ind w:firstLine="0"/>
            </w:pPr>
            <w:r>
              <w:rPr>
                <w:rFonts w:ascii="Times New Roman" w:hAnsi="Times New Roman" w:eastAsia="宋体"/>
                <w:sz w:val="18"/>
              </w:rPr>
              <w:t>模乘优化</w:t>
            </w:r>
          </w:p>
        </w:tc>
        <w:tc>
          <w:tcPr>
            <w:tcW w:type="dxa" w:w="1000"/>
          </w:tcPr>
          <w:p>
            <w:pPr>
              <w:keepNext/>
              <w:keepLines/>
              <w:spacing w:line="252" w:lineRule="auto" w:before="40" w:after="40"/>
              <w:ind w:firstLine="0"/>
            </w:pPr>
            <w:r>
              <w:rPr>
                <w:rFonts w:ascii="Times New Roman" w:hAnsi="Times New Roman" w:eastAsia="宋体"/>
                <w:sz w:val="18"/>
              </w:rPr>
              <w:t>V3</w:t>
            </w:r>
          </w:p>
        </w:tc>
        <w:tc>
          <w:tcPr>
            <w:tcW w:type="dxa" w:w="5806"/>
          </w:tcPr>
          <w:p>
            <w:pPr>
              <w:keepNext/>
              <w:keepLines/>
              <w:spacing w:line="252" w:lineRule="auto" w:before="40" w:after="40"/>
              <w:ind w:firstLine="0"/>
            </w:pPr>
            <w:r>
              <w:rPr>
                <w:rFonts w:ascii="Times New Roman" w:hAnsi="Times New Roman" w:eastAsia="宋体"/>
                <w:sz w:val="18"/>
              </w:rPr>
              <w:t>在延后乘积上增加单机器字模乘</w:t>
            </w:r>
          </w:p>
        </w:tc>
      </w:tr>
      <w:tr>
        <w:tc>
          <w:tcPr>
            <w:tcW w:type="dxa" w:w="1500"/>
          </w:tcPr>
          <w:p>
            <w:pPr>
              <w:keepNext/>
              <w:keepLines/>
              <w:spacing w:line="252" w:lineRule="auto" w:before="40" w:after="40"/>
              <w:ind w:firstLine="0"/>
            </w:pPr>
            <w:r>
              <w:rPr>
                <w:rFonts w:ascii="Times New Roman" w:hAnsi="Times New Roman" w:eastAsia="宋体"/>
                <w:sz w:val="18"/>
              </w:rPr>
              <w:t>浮点候选</w:t>
            </w:r>
          </w:p>
        </w:tc>
        <w:tc>
          <w:tcPr>
            <w:tcW w:type="dxa" w:w="1000"/>
          </w:tcPr>
          <w:p>
            <w:pPr>
              <w:keepNext/>
              <w:keepLines/>
              <w:spacing w:line="252" w:lineRule="auto" w:before="40" w:after="40"/>
              <w:ind w:firstLine="0"/>
            </w:pPr>
            <w:r>
              <w:rPr>
                <w:rFonts w:ascii="Times New Roman" w:hAnsi="Times New Roman" w:eastAsia="宋体"/>
                <w:sz w:val="18"/>
              </w:rPr>
              <w:t>V4</w:t>
            </w:r>
          </w:p>
        </w:tc>
        <w:tc>
          <w:tcPr>
            <w:tcW w:type="dxa" w:w="5806"/>
          </w:tcPr>
          <w:p>
            <w:pPr>
              <w:keepNext/>
              <w:keepLines/>
              <w:spacing w:line="252" w:lineRule="auto" w:before="40" w:after="40"/>
              <w:ind w:firstLine="0"/>
            </w:pPr>
            <w:r>
              <w:rPr>
                <w:rFonts w:ascii="Times New Roman" w:hAnsi="Times New Roman" w:eastAsia="宋体"/>
                <w:sz w:val="18"/>
              </w:rPr>
              <w:t>在模乘优化上加入候选浮点判定</w:t>
            </w:r>
          </w:p>
        </w:tc>
      </w:tr>
      <w:tr>
        <w:tc>
          <w:tcPr>
            <w:tcW w:type="dxa" w:w="1500"/>
          </w:tcPr>
          <w:p>
            <w:pPr>
              <w:keepNext/>
              <w:keepLines/>
              <w:spacing w:line="252" w:lineRule="auto" w:before="40" w:after="40"/>
              <w:ind w:firstLine="0"/>
            </w:pPr>
            <w:r>
              <w:rPr>
                <w:rFonts w:ascii="Times New Roman" w:hAnsi="Times New Roman" w:eastAsia="宋体"/>
                <w:sz w:val="18"/>
              </w:rPr>
              <w:t>候选紧致</w:t>
            </w:r>
          </w:p>
        </w:tc>
        <w:tc>
          <w:tcPr>
            <w:tcW w:type="dxa" w:w="1000"/>
          </w:tcPr>
          <w:p>
            <w:pPr>
              <w:keepNext/>
              <w:keepLines/>
              <w:spacing w:line="252" w:lineRule="auto" w:before="40" w:after="40"/>
              <w:ind w:firstLine="0"/>
            </w:pPr>
            <w:r>
              <w:rPr>
                <w:rFonts w:ascii="Times New Roman" w:hAnsi="Times New Roman" w:eastAsia="宋体"/>
                <w:sz w:val="18"/>
              </w:rPr>
              <w:t>V5</w:t>
            </w:r>
          </w:p>
        </w:tc>
        <w:tc>
          <w:tcPr>
            <w:tcW w:type="dxa" w:w="5806"/>
          </w:tcPr>
          <w:p>
            <w:pPr>
              <w:keepNext/>
              <w:keepLines/>
              <w:spacing w:line="252" w:lineRule="auto" w:before="40" w:after="40"/>
              <w:ind w:firstLine="0"/>
            </w:pPr>
            <w:r>
              <w:rPr>
                <w:rFonts w:ascii="Times New Roman" w:hAnsi="Times New Roman" w:eastAsia="宋体"/>
                <w:sz w:val="18"/>
              </w:rPr>
              <w:t>在浮点候选上增加紧致表示</w:t>
            </w:r>
          </w:p>
        </w:tc>
      </w:tr>
      <w:tr>
        <w:tc>
          <w:tcPr>
            <w:tcW w:type="dxa" w:w="1500"/>
          </w:tcPr>
          <w:p>
            <w:pPr>
              <w:keepNext/>
              <w:keepLines/>
              <w:spacing w:line="252" w:lineRule="auto" w:before="40" w:after="40"/>
              <w:ind w:firstLine="0"/>
            </w:pPr>
            <w:r>
              <w:rPr>
                <w:rFonts w:ascii="Times New Roman" w:hAnsi="Times New Roman" w:eastAsia="宋体"/>
                <w:sz w:val="18"/>
              </w:rPr>
              <w:t>填充优化</w:t>
            </w:r>
          </w:p>
        </w:tc>
        <w:tc>
          <w:tcPr>
            <w:tcW w:type="dxa" w:w="1000"/>
          </w:tcPr>
          <w:p>
            <w:pPr>
              <w:keepNext/>
              <w:keepLines/>
              <w:spacing w:line="252" w:lineRule="auto" w:before="40" w:after="40"/>
              <w:ind w:firstLine="0"/>
            </w:pPr>
            <w:r>
              <w:rPr>
                <w:rFonts w:ascii="Times New Roman" w:hAnsi="Times New Roman" w:eastAsia="宋体"/>
                <w:sz w:val="18"/>
              </w:rPr>
              <w:t>G3</w:t>
            </w:r>
          </w:p>
        </w:tc>
        <w:tc>
          <w:tcPr>
            <w:tcW w:type="dxa" w:w="5806"/>
          </w:tcPr>
          <w:p>
            <w:pPr>
              <w:keepNext/>
              <w:keepLines/>
              <w:spacing w:line="252" w:lineRule="auto" w:before="40" w:after="40"/>
              <w:ind w:firstLine="0"/>
            </w:pPr>
            <w:r>
              <w:rPr>
                <w:rFonts w:ascii="Times New Roman" w:hAnsi="Times New Roman" w:eastAsia="宋体"/>
                <w:sz w:val="18"/>
              </w:rPr>
              <w:t>模乘优化加整数预检查；原MPFR判定</w:t>
            </w:r>
          </w:p>
        </w:tc>
      </w:tr>
      <w:tr>
        <w:tc>
          <w:tcPr>
            <w:tcW w:type="dxa" w:w="1500"/>
          </w:tcPr>
          <w:p>
            <w:pPr>
              <w:keepNext/>
              <w:keepLines/>
              <w:spacing w:line="252" w:lineRule="auto" w:before="40" w:after="40"/>
              <w:ind w:firstLine="0"/>
            </w:pPr>
            <w:r>
              <w:rPr>
                <w:rFonts w:ascii="Times New Roman" w:hAnsi="Times New Roman" w:eastAsia="宋体"/>
                <w:sz w:val="18"/>
              </w:rPr>
              <w:t>紧致优化</w:t>
            </w:r>
          </w:p>
        </w:tc>
        <w:tc>
          <w:tcPr>
            <w:tcW w:type="dxa" w:w="1000"/>
          </w:tcPr>
          <w:p>
            <w:pPr>
              <w:keepNext/>
              <w:keepLines/>
              <w:spacing w:line="252" w:lineRule="auto" w:before="40" w:after="40"/>
              <w:ind w:firstLine="0"/>
            </w:pPr>
            <w:r>
              <w:rPr>
                <w:rFonts w:ascii="Times New Roman" w:hAnsi="Times New Roman" w:eastAsia="宋体"/>
                <w:sz w:val="18"/>
              </w:rPr>
              <w:t>C3</w:t>
            </w:r>
          </w:p>
        </w:tc>
        <w:tc>
          <w:tcPr>
            <w:tcW w:type="dxa" w:w="5806"/>
          </w:tcPr>
          <w:p>
            <w:pPr>
              <w:keepNext/>
              <w:keepLines/>
              <w:spacing w:line="252" w:lineRule="auto" w:before="40" w:after="40"/>
              <w:ind w:firstLine="0"/>
            </w:pPr>
            <w:r>
              <w:rPr>
                <w:rFonts w:ascii="Times New Roman" w:hAnsi="Times New Roman" w:eastAsia="宋体"/>
                <w:sz w:val="18"/>
              </w:rPr>
              <w:t>填充优化加紧致关系与参数</w:t>
            </w:r>
          </w:p>
        </w:tc>
      </w:tr>
      <w:tr>
        <w:tc>
          <w:tcPr>
            <w:tcW w:type="dxa" w:w="1500"/>
          </w:tcPr>
          <w:p>
            <w:pPr>
              <w:keepNext/>
              <w:keepLines/>
              <w:spacing w:line="252" w:lineRule="auto" w:before="40" w:after="40"/>
              <w:ind w:firstLine="0"/>
            </w:pPr>
            <w:r>
              <w:rPr>
                <w:rFonts w:ascii="Times New Roman" w:hAnsi="Times New Roman" w:eastAsia="宋体"/>
                <w:sz w:val="18"/>
              </w:rPr>
              <w:t>填充诊断</w:t>
            </w:r>
          </w:p>
        </w:tc>
        <w:tc>
          <w:tcPr>
            <w:tcW w:type="dxa" w:w="1000"/>
          </w:tcPr>
          <w:p>
            <w:pPr>
              <w:keepNext/>
              <w:keepLines/>
              <w:spacing w:line="252" w:lineRule="auto" w:before="40" w:after="40"/>
              <w:ind w:firstLine="0"/>
            </w:pPr>
            <w:r>
              <w:rPr>
                <w:rFonts w:ascii="Times New Roman" w:hAnsi="Times New Roman" w:eastAsia="宋体"/>
                <w:sz w:val="18"/>
              </w:rPr>
              <w:t>D3</w:t>
            </w:r>
          </w:p>
        </w:tc>
        <w:tc>
          <w:tcPr>
            <w:tcW w:type="dxa" w:w="5806"/>
          </w:tcPr>
          <w:p>
            <w:pPr>
              <w:keepNext/>
              <w:keepLines/>
              <w:spacing w:line="252" w:lineRule="auto" w:before="40" w:after="40"/>
              <w:ind w:firstLine="0"/>
            </w:pPr>
            <w:r>
              <w:rPr>
                <w:rFonts w:ascii="Times New Roman" w:hAnsi="Times New Roman" w:eastAsia="宋体"/>
                <w:sz w:val="18"/>
              </w:rPr>
              <w:t>填充配置的影子诊断，仍返回MPFR结果</w:t>
            </w:r>
          </w:p>
        </w:tc>
      </w:tr>
      <w:tr>
        <w:tc>
          <w:tcPr>
            <w:tcW w:type="dxa" w:w="1500"/>
          </w:tcPr>
          <w:p>
            <w:pPr>
              <w:keepNext w:val="0"/>
              <w:keepLines/>
              <w:spacing w:line="252" w:lineRule="auto" w:before="40" w:after="40"/>
              <w:ind w:firstLine="0"/>
            </w:pPr>
            <w:r>
              <w:rPr>
                <w:rFonts w:ascii="Times New Roman" w:hAnsi="Times New Roman" w:eastAsia="宋体"/>
                <w:sz w:val="18"/>
              </w:rPr>
              <w:t>紧致诊断</w:t>
            </w:r>
          </w:p>
        </w:tc>
        <w:tc>
          <w:tcPr>
            <w:tcW w:type="dxa" w:w="1000"/>
          </w:tcPr>
          <w:p>
            <w:pPr>
              <w:keepNext w:val="0"/>
              <w:keepLines/>
              <w:spacing w:line="252" w:lineRule="auto" w:before="40" w:after="40"/>
              <w:ind w:firstLine="0"/>
            </w:pPr>
            <w:r>
              <w:rPr>
                <w:rFonts w:ascii="Times New Roman" w:hAnsi="Times New Roman" w:eastAsia="宋体"/>
                <w:sz w:val="18"/>
              </w:rPr>
              <w:t>DC3</w:t>
            </w:r>
          </w:p>
        </w:tc>
        <w:tc>
          <w:tcPr>
            <w:tcW w:type="dxa" w:w="5806"/>
          </w:tcPr>
          <w:p>
            <w:pPr>
              <w:keepNext w:val="0"/>
              <w:keepLines/>
              <w:spacing w:line="252" w:lineRule="auto" w:before="40" w:after="40"/>
              <w:ind w:firstLine="0"/>
            </w:pPr>
            <w:r>
              <w:rPr>
                <w:rFonts w:ascii="Times New Roman" w:hAnsi="Times New Roman" w:eastAsia="宋体"/>
                <w:sz w:val="18"/>
              </w:rPr>
              <w:t>紧致配置的影子诊断，仍返回MPFR结果</w:t>
            </w:r>
          </w:p>
        </w:tc>
      </w:tr>
    </w:tbl>
    <w:p>
      <w:r>
        <w:t>历史批次原目录：e3_rerun_full_20261017_125601_10c22c（实验包简称E3）；主实验原目录：e4_full_20261018_121816_c2df8c（简称E4）。前者为顺序累积实验，后者为随机交错实验，不混合统计。原始记录的steady、fresh分别对应重复出示与会话重建；raw、strict分别对应默认验证与严格验证。</w:t>
      </w:r>
    </w:p>
    <w:p>
      <w:pPr/>
      <w:r>
        <w:t>源码版本使用Git提交哈希标识。哈希是定位源码快照的40位十六进制标识，与模数和安全位数无关。复现起点为：</w:t>
        <w:br/>
        <w:t>10eafeca4cd53ff4fc54193dce904dbd0026fefd。</w:t>
        <w:br/>
        <w:t>另行核对的上游版本为：</w:t>
        <w:br/>
        <w:t>b958e247a2fdb9593b3c25c9603c6c5305c19420</w:t>
      </w:r>
    </w:p>
    <w:p>
      <w:r>
        <w:t xml:space="preserve">声明接口：set_statement_A设置声明矩阵，set_statement_t设置公开向量；set_statement同时设置二者。C层对应_lin_set_statement_A/t。poly_auto与polymat_auto计算多项式或矩阵的环自同构像；poly_toisoring与poly_fromisoring完成母环和子环自由模表示之间的系数重排。zero_out_cols与zero_out_pols为原填充实现的置零函数；lin_prover_prove与lin_verifier_verify分别为证明与验证入口。这些名称均为实现接口，不是新增的数学变量。</w:t>
      </w:r>
    </w:p>
    <w:p>
      <w:r>
        <w:t xml:space="preserve">编码与状态：coder_enc_urandom4将系数按固定位宽写入比特流；bit_off记录未写出的比特数；coder_enc_end写入终止填充。shake128_state_t为哈希内部状态类型，当前构建为208 B。oDs表示缩放矩阵Ds的自同构像；两者的数学作用见正文第3.1节。</w:t>
      </w:r>
    </w:p>
    <w:p>
      <w:r>
        <w:t xml:space="preserve">代码定位：python/anon_cred/anon_cred.py组织凭证签发与出示，anon_cred_params.h保存证明参数，lnp-tbox-codegen.sage生成证明参数；src/lin-proofs.c处理线性关系、投影与声明哈希，src/lnp-tbox.c和src/lnp-quad.c处理约束与二次证明，poly.c中的poly_scale处理模乘，rejection.c处理拒绝判定。声明哈希入口为__lnp_hash_statement_arp；其系数规范化polymat_redp可触发_fromcrt转换，后续运算再触发_tocrt。证明与验证共用的___schwartz_zippel_accumulate_z3/z4使用累加器svR，证明侧__lnp_tbox_compute_z34准备两组投影响应；polyvec_scale2计算挑战与第二组秘密向量的乘积。标准与双峰拒绝判定对应rej_standard和rej_bimodal。固定源码中方差误传位于lnp-quad.c第270行，盲化范数累加遗漏位于blindsig.c第737行；行号只适用于该固定版本。</w:t>
      </w:r>
    </w:p>
    <w:p>
      <w:r>
        <w:t>参数与检查：stdev1sqr、stdev2sqr是两组响应方差；Bsq是内部范数平方界，区别于应用关系的短原像范数界。ABDLOP参数字段tbox-&gt;m1对应加入范数余量后的内部维度（正文记为</w:t>
      </w:r>
      <m:oMath>
        <m:sSub>
          <m:e>
            <m:r>
              <w:rPr>
                <w:rFonts w:ascii="Cambria Math" w:hAnsi="Cambria Math" w:cs="Cambria Math" w:eastAsia="Cambria Math"/>
                <w:sz w:val="20"/>
              </w:rPr>
              <m:t>m</m:t>
            </m:r>
          </m:e>
          <m:sub>
            <m:r>
              <m:rPr>
                <m:nor/>
              </m:rPr>
              <w:rPr>
                <w:rFonts w:ascii="Cambria Math" w:hAnsi="Cambria Math" w:cs="Cambria Math" w:eastAsia="Cambria Math"/>
                <w:sz w:val="20"/>
              </w:rPr>
              <m:t>i</m:t>
            </m:r>
            <m:r>
              <m:rPr>
                <m:nor/>
              </m:rPr>
              <w:rPr>
                <w:rFonts w:ascii="Cambria Math" w:hAnsi="Cambria Math" w:cs="Cambria Math" w:eastAsia="Cambria Math"/>
                <w:sz w:val="20"/>
              </w:rPr>
              <m:t>n</m:t>
            </m:r>
            <m:r>
              <m:rPr>
                <m:nor/>
              </m:rPr>
              <w:rPr>
                <w:rFonts w:ascii="Cambria Math" w:hAnsi="Cambria Math" w:cs="Cambria Math" w:eastAsia="Cambria Math"/>
                <w:sz w:val="20"/>
              </w:rPr>
              <m:t>t</m:t>
            </m:r>
          </m:sub>
        </m:sSub>
      </m:oMath>
      <w:r>
        <w:t xml:space="preserve">），</w:t>
      </w:r>
      <m:oMath>
        <m:sSub>
          <m:e>
            <m:r>
              <w:rPr>
                <w:rFonts w:ascii="Cambria Math" w:hAnsi="Cambria Math" w:cs="Cambria Math" w:eastAsia="Cambria Math"/>
                <w:sz w:val="20"/>
              </w:rPr>
              <m:t>n</m:t>
            </m:r>
          </m:e>
          <m:sub>
            <m:r>
              <m:rPr>
                <m:nor/>
              </m:rPr>
              <w:rPr>
                <w:rFonts w:ascii="Cambria Math" w:hAnsi="Cambria Math" w:cs="Cambria Math" w:eastAsia="Cambria Math"/>
                <w:sz w:val="20"/>
              </w:rPr>
              <m:t>a</m:t>
            </m:r>
            <m:r>
              <m:rPr>
                <m:nor/>
              </m:rPr>
              <w:rPr>
                <w:rFonts w:ascii="Cambria Math" w:hAnsi="Cambria Math" w:cs="Cambria Math" w:eastAsia="Cambria Math"/>
                <w:sz w:val="20"/>
              </w:rPr>
              <m:t>p</m:t>
            </m:r>
            <m:r>
              <m:rPr>
                <m:nor/>
              </m:rPr>
              <w:rPr>
                <w:rFonts w:ascii="Cambria Math" w:hAnsi="Cambria Math" w:cs="Cambria Math" w:eastAsia="Cambria Math"/>
                <w:sz w:val="20"/>
              </w:rPr>
              <m:t>p</m:t>
            </m:r>
          </m:sub>
        </m:sSub>
      </m:oMath>
      <w:r>
        <w:t>表示加入余量前的应用声明矩阵列数；C局部m1=tbox-&gt;m1-Z也可表示该应用维度，不能与参数字段混同。nbin、nex分别对应二进制约束数量及近似范围证明第一组投影输入的多项式数量，须与索引同步调整。p2_compact1_param至p2_compact8_param分别对应披露1至8个属性。verify_blindsig执行持有者盲签名校验；log2q是编码位宽字段，svR是三元投影的点积累加器；strict=True启用严格验证，strict=False采用默认验证。</w:t>
      </w:r>
    </w:p>
    <w:p>
      <w:r>
        <w:t xml:space="preserve">测量配置：原始governor值为powersave，EPP值为balance_performance；thermal_zone2记录的起止温度为46°C/54°C。CPU时间接口为process_time_ns，墙钟计时接口为perf_counter_ns。重复次数、随机种子、哈希与二进制留档的证据范围分别见正文第5节及本补充材料S1—S3，不能由目录名推断复现成功或安全证明。</w:t>
      </w:r>
    </w:p>
    <w:p>
      <w:pPr>
        <w:keepNext w:val="0"/>
        <w:keepLines w:val="0"/>
        <w:pageBreakBefore w:val="0"/>
        <w:widowControl/>
        <w:spacing w:after="40" w:line="276" w:lineRule="auto" w:before="0"/>
        <w:ind w:left="0" w:right="0" w:firstLine="420"/>
        <w:jc w:val="both"/>
        <w:snapToGrid w:val="0"/>
      </w:pPr>
      <w:r>
        <w:rPr>
          <w:rFonts w:ascii="Times New Roman" w:hAnsi="Times New Roman" w:eastAsia="宋体" w:cs="Times New Roman"/>
          <w:sz w:val="21"/>
          <w:szCs w:val="21"/>
          <w:color w:val="000000"/>
          <w:b w:val="0"/>
        </w:rPr>
        <w:t xml:space="preserve">另一次打包后的smoke归档e4_smoke_20261020_141334_cbbc35报告：在重新构建选定原生版本后，测量状态为COMPLETE，验证状态为PASSED。固定种子和强制通用路径检查覆盖修正基线、填充优化与紧致优化；每种优化记录1,009组整数范围检查、39组模乘边界检查，以及40个同时驻留的单线程缓存实例、20次复证缓存命中及4次声明切换。回执与48份原始数据JSONL和9份验证JSONL核对一致。该次运行仅提供有限回归证据，包含36次主路径正式测量会话，与7,200次full主实验分开统计；该次smoke本身未强制触发已释放指针的地址复用，也未测试多线程正确性。</w:t>
      </w:r>
      <w:r>
        <w:rPr>
          <w:rFonts w:ascii="Times New Roman" w:hAnsi="Times New Roman"/>
          <w:sz w:val="21"/>
        </w:rPr>
        <w:t xml:space="preserve"> 本批次原始目录、回执及SHA-256清单已纳入V3复现附件。</w:t>
      </w:r>
    </w:p>
    <w:p>
      <w:pPr>
        <w:keepNext w:val="0"/>
        <w:keepLines w:val="0"/>
        <w:pageBreakBefore w:val="0"/>
        <w:widowControl/>
        <w:spacing w:after="40" w:line="276" w:lineRule="auto" w:before="0"/>
        <w:ind w:left="0" w:right="0" w:firstLine="420"/>
        <w:jc w:val="both"/>
        <w:snapToGrid w:val="0"/>
      </w:pPr>
      <w:r>
        <w:rPr>
          <w:rFonts w:ascii="Times New Roman" w:hAnsi="Times New Roman" w:eastAsia="宋体" w:cs="Times New Roman"/>
          <w:sz w:val="21"/>
          <w:szCs w:val="21"/>
          <w:color w:val="000000"/>
          <w:b w:val="0"/>
        </w:rPr>
        <w:t>随后独立的C3缓存生命周期压力测试执行80轮单线程对象生命周期，证据文件为e4_cache_pointer_stress_evidence.tar.gz。每轮生成一个凭证，在保持、变更及恢复披露集合的过程中执行四次严格出示与验证，并测试修改后的披露值被拒绝。报告记录320次严格验证成功、80次负例拒绝，以及65次原生Ds地址在此前已销毁生命周期中出现过的观察；65表示复用观察事件数，不是不同地址数。记录的最小缓存计数为：同声明命中4次、策略切换后重新填充2次、恢复后重新填充2次。记录结果为PASSED_POINTER_REUSE_OBSERVED。该测试使用本地C3的liblazer.so，并核实进程中仅映射一份原生库；未评估任意原地修改、多线程、所有分配器行为或整协议安全性。结果属于回归证据，不作为正文表4的额外计时样本。</w:t>
      </w:r>
      <w:r>
        <w:rPr>
          <w:rFonts w:ascii="Times New Roman" w:hAnsi="Times New Roman"/>
          <w:sz w:val="21"/>
        </w:rPr>
        <w:t xml:space="preserve"> 测试脚本check_pointer_reuse.py、结果JSON及运行日志一并归档。</w:t>
      </w:r>
    </w:p>
    <w:p>
      <w:pPr>
        <w:pStyle w:val="Heading1"/>
        <w:keepNext/>
        <w:keepLines/>
        <w:pageBreakBefore w:val="0"/>
        <w:widowControl/>
        <w:spacing w:before="140" w:after="80" w:line="276" w:lineRule="auto"/>
        <w:ind w:left="0" w:right="0" w:firstLine="0"/>
        <w:jc w:val="both"/>
        <w:snapToGrid w:val="0"/>
      </w:pPr>
      <w:r>
        <w:rPr>
          <w:rFonts w:ascii="黑体" w:hAnsi="黑体" w:eastAsia="黑体" w:cs="Times New Roman"/>
          <w:sz w:val="28"/>
          <w:szCs w:val="28"/>
          <w:color w:val="000000"/>
          <w:b/>
        </w:rPr>
        <w:t>S5 主实验固定种子与诊断明细</w:t>
      </w:r>
    </w:p>
    <w:p>
      <w:pPr>
        <w:spacing w:line="288" w:lineRule="auto" w:after="120"/>
      </w:pPr>
      <w:r>
        <w:t>本节补列正文已有结果所对应的E4记录，不新增实验批次。表S14对应正文第5.6节及摘要中的固定种子大小；表S15对应正文表1注和第5.2节的签发说明；表S16对应正文第5.6节的影子诊断。记录来自V3复现附件中的results/E4_MAIN_FULL_ORIGINAL.tar.gz，内层目录为e4_full_20261018_121816_c2df8c。以下统计均排除标记为warmup的记录；固定种子为独立功能核对，不并入正式计时样本。</w:t>
      </w:r>
    </w:p>
    <w:p>
      <w:pPr>
        <w:pStyle w:val="Caption"/>
        <w:keepNext/>
        <w:keepLines/>
        <w:pageBreakBefore w:val="0"/>
        <w:widowControl/>
        <w:spacing w:before="80" w:after="100" w:line="276" w:lineRule="auto"/>
        <w:ind w:left="0" w:right="0" w:firstLine="0"/>
        <w:jc w:val="center"/>
        <w:snapToGrid w:val="0"/>
      </w:pPr>
      <w:r>
        <w:rPr>
          <w:rFonts w:ascii="Times New Roman" w:hAnsi="Times New Roman" w:eastAsia="宋体" w:cs="Times New Roman"/>
          <w:sz w:val="21"/>
          <w:szCs w:val="21"/>
          <w:color w:val="000000"/>
          <w:b/>
        </w:rPr>
        <w:t>表S14 主实验固定种子实例的出示证明大小 单位B</w:t>
      </w:r>
    </w:p>
    <w:tbl>
      <w:tblPr>
        <w:tblW w:type="dxa" w:w="8306"/>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650"/>
        <w:gridCol w:w="1850"/>
        <w:gridCol w:w="1850"/>
        <w:gridCol w:w="1850"/>
        <w:gridCol w:w="2106"/>
      </w:tblGrid>
      <w:tr>
        <w:trPr>
          <w:cantSplit/>
          <w:tblHeader/>
        </w:trPr>
        <w:tc>
          <w:tcPr>
            <w:tcW w:type="dxa" w:w="6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种子</w:t>
            </w:r>
          </w:p>
        </w:tc>
        <w:tc>
          <w:tcPr>
            <w:tcW w:type="dxa" w:w="18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修正基线</w:t>
            </w:r>
          </w:p>
        </w:tc>
        <w:tc>
          <w:tcPr>
            <w:tcW w:type="dxa" w:w="18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填充优化</w:t>
            </w:r>
          </w:p>
        </w:tc>
        <w:tc>
          <w:tcPr>
            <w:tcW w:type="dxa" w:w="185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紧致优化</w:t>
            </w:r>
          </w:p>
        </w:tc>
        <w:tc>
          <w:tcPr>
            <w:tcW w:type="dxa" w:w="2106"/>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相对填充减少</w:t>
            </w:r>
          </w:p>
        </w:tc>
      </w:tr>
      <w:tr>
        <w:trPr>
          <w:cantSplit/>
        </w:trPr>
        <w:tc>
          <w:tcPr>
            <w:tcW w:type="dxa" w:w="6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1</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29,118</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29,118</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28,501</w:t>
            </w:r>
          </w:p>
        </w:tc>
        <w:tc>
          <w:tcPr>
            <w:tcW w:type="dxa" w:w="21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617</w:t>
            </w:r>
          </w:p>
        </w:tc>
      </w:tr>
      <w:tr>
        <w:trPr>
          <w:cantSplit/>
        </w:trPr>
        <w:tc>
          <w:tcPr>
            <w:tcW w:type="dxa" w:w="6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29,107</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29,107</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28,484</w:t>
            </w:r>
          </w:p>
        </w:tc>
        <w:tc>
          <w:tcPr>
            <w:tcW w:type="dxa" w:w="21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623</w:t>
            </w:r>
          </w:p>
        </w:tc>
      </w:tr>
      <w:tr>
        <w:trPr>
          <w:cantSplit/>
        </w:trPr>
        <w:tc>
          <w:tcPr>
            <w:tcW w:type="dxa" w:w="6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3</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29,109</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29,109</w:t>
            </w:r>
          </w:p>
        </w:tc>
        <w:tc>
          <w:tcPr>
            <w:tcW w:type="dxa" w:w="185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28,474</w:t>
            </w:r>
          </w:p>
        </w:tc>
        <w:tc>
          <w:tcPr>
            <w:tcW w:type="dxa" w:w="21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635</w:t>
            </w:r>
          </w:p>
        </w:tc>
      </w:tr>
    </w:tbl>
    <w:p>
      <w:pPr>
        <w:spacing w:line="288" w:lineRule="auto" w:after="120"/>
      </w:pPr>
      <w:r>
        <w:t>三个种子均为k=3、D={0,4,5}、严格验证，9份记录状态均为ACCEPTED。逐种子比较，修正基线与填充优化的证明哈希相同；三种版本的请求及盲签名长度、哈希也分别相同。紧致化改变出示关系与编码，证明大小分别减少617、623、635 B；这些是三个固定实例，不代表任意随机实例都缩减同样字节数。表S1采用历史批次币规则，不能替代本表。定位：内层verification/fixed_{B1,G3,C3}_{1,2,3}.jsonl及同名receipt.json回执。</w:t>
      </w:r>
    </w:p>
    <w:p>
      <w:pPr>
        <w:pStyle w:val="Caption"/>
        <w:keepNext/>
        <w:keepLines/>
        <w:pageBreakBefore w:val="0"/>
        <w:widowControl/>
        <w:spacing w:before="80" w:after="100" w:line="276" w:lineRule="auto"/>
        <w:ind w:left="0" w:right="0" w:firstLine="0"/>
        <w:jc w:val="center"/>
        <w:snapToGrid w:val="0"/>
      </w:pPr>
      <w:r>
        <w:rPr>
          <w:rFonts w:ascii="Times New Roman" w:hAnsi="Times New Roman" w:eastAsia="宋体" w:cs="Times New Roman"/>
          <w:sz w:val="21"/>
          <w:szCs w:val="21"/>
          <w:color w:val="000000"/>
          <w:b/>
        </w:rPr>
        <w:t>表S15 会话重建负载的签发两段均值 严格验证 每版本n=600 单位ms</w:t>
      </w:r>
    </w:p>
    <w:tbl>
      <w:tblPr>
        <w:tblW w:type="dxa" w:w="8306"/>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06"/>
        <w:gridCol w:w="2000"/>
        <w:gridCol w:w="2000"/>
        <w:gridCol w:w="2000"/>
      </w:tblGrid>
      <w:tr>
        <w:trPr>
          <w:cantSplit/>
          <w:tblHeader/>
        </w:trPr>
        <w:tc>
          <w:tcPr>
            <w:tcW w:type="dxa" w:w="2306"/>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版本</w:t>
            </w:r>
          </w:p>
        </w:tc>
        <w:tc>
          <w:tcPr>
            <w:tcW w:type="dxa" w:w="200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P1生成</w:t>
            </w:r>
          </w:p>
        </w:tc>
        <w:tc>
          <w:tcPr>
            <w:tcW w:type="dxa" w:w="200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P1验证与签发</w:t>
            </w:r>
          </w:p>
        </w:tc>
        <w:tc>
          <w:tcPr>
            <w:tcW w:type="dxa" w:w="2000"/>
            <w:vAlign w:val="center"/>
            <w:tcMar>
              <w:top w:w="45" w:type="dxa"/>
              <w:bottom w:w="45" w:type="dxa"/>
              <w:left w:w="60" w:type="dxa"/>
              <w:right w:w="60" w:type="dxa"/>
            </w:tcMar>
            <w:tcBorders>
              <w:bottom w:val="single" w:sz="5" w:color="000000"/>
            </w:tcBorders>
          </w:tcPr>
          <w:p>
            <w:pPr>
              <w:keepNext/>
              <w:spacing w:before="40" w:after="40" w:line="264" w:lineRule="auto"/>
              <w:ind w:firstLine="0"/>
              <w:jc w:val="center"/>
            </w:pPr>
            <w:r>
              <w:rPr>
                <w:rFonts w:ascii="Times New Roman" w:hAnsi="Times New Roman" w:eastAsia="宋体"/>
                <w:b/>
                <w:sz w:val="21"/>
              </w:rPr>
              <w:t>两段合计</w:t>
            </w:r>
          </w:p>
        </w:tc>
      </w:tr>
      <w:tr>
        <w:trPr>
          <w:cantSplit/>
        </w:trPr>
        <w:tc>
          <w:tcPr>
            <w:tcW w:type="dxa" w:w="23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修正基线</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40.68</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18.33</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59.01</w:t>
            </w:r>
          </w:p>
        </w:tc>
      </w:tr>
      <w:tr>
        <w:trPr>
          <w:cantSplit/>
        </w:trPr>
        <w:tc>
          <w:tcPr>
            <w:tcW w:type="dxa" w:w="23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填充优化</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29.40</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11.81</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41.21</w:t>
            </w:r>
          </w:p>
        </w:tc>
      </w:tr>
      <w:tr>
        <w:trPr>
          <w:cantSplit/>
        </w:trPr>
        <w:tc>
          <w:tcPr>
            <w:tcW w:type="dxa" w:w="2306"/>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紧致优化</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28.70</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11.85</w:t>
            </w:r>
          </w:p>
        </w:tc>
        <w:tc>
          <w:tcPr>
            <w:tcW w:type="dxa" w:w="2000"/>
            <w:vAlign w:val="center"/>
            <w:tcMar>
              <w:top w:w="45" w:type="dxa"/>
              <w:bottom w:w="45" w:type="dxa"/>
              <w:left w:w="60" w:type="dxa"/>
              <w:right w:w="60" w:type="dxa"/>
            </w:tcMar>
          </w:tcPr>
          <w:p>
            <w:pPr>
              <w:keepNext w:val="0"/>
              <w:spacing w:before="40" w:after="40" w:line="264" w:lineRule="auto"/>
              <w:ind w:firstLine="0"/>
              <w:jc w:val="center"/>
            </w:pPr>
            <w:r>
              <w:rPr>
                <w:rFonts w:ascii="Times New Roman" w:hAnsi="Times New Roman" w:eastAsia="宋体"/>
                <w:b w:val="0"/>
                <w:sz w:val="21"/>
              </w:rPr>
              <w:t>40.55</w:t>
            </w:r>
          </w:p>
        </w:tc>
      </w:tr>
    </w:tbl>
    <w:p>
      <w:pPr>
        <w:spacing w:line="288" w:lineRule="auto" w:after="120"/>
      </w:pPr>
      <w:r>
        <w:t>表中两段分别为原始字段p1_prove_ms、p1_verify_issue_ms的均值，合计由未舍入记录计算。仅选择task=main、lifecycle=fresh、verification_mode=strict且非预热的记录，每版本3批×200次。填充/紧致两段合计为41.21/40.55 ms，与正文一致；不含三方对象初始化，不计入正文表4的本地出示耗时，也不能与另一生命周期的出示值拼接为端到端认证时延。定位：内层raw/*_main_{B1,G3,C3}.jsonl，按上述字段筛选。</w:t>
      </w:r>
    </w:p>
    <w:p>
      <w:pPr>
        <w:pStyle w:val="Caption"/>
        <w:keepNext/>
        <w:keepLines/>
        <w:pageBreakBefore w:val="0"/>
        <w:widowControl/>
        <w:spacing w:before="80" w:after="100" w:line="276" w:lineRule="auto"/>
        <w:ind w:left="0" w:right="0" w:firstLine="0"/>
        <w:jc w:val="center"/>
        <w:snapToGrid w:val="0"/>
      </w:pPr>
      <w:r>
        <w:rPr>
          <w:rFonts w:ascii="Times New Roman" w:hAnsi="Times New Roman" w:eastAsia="宋体" w:cs="Times New Roman"/>
          <w:sz w:val="21"/>
          <w:szCs w:val="21"/>
          <w:color w:val="000000"/>
          <w:b/>
        </w:rPr>
        <w:t>表S16 影子诊断计数及原MPFR判定块耗时</w:t>
      </w:r>
    </w:p>
    <w:tbl>
      <w:tblPr>
        <w:tblW w:type="dxa" w:w="8306"/>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206"/>
        <w:gridCol w:w="2050"/>
        <w:gridCol w:w="2050"/>
      </w:tblGrid>
      <w:tr>
        <w:trPr>
          <w:cantSplit/>
          <w:tblHeader/>
        </w:trPr>
        <w:tc>
          <w:tcPr>
            <w:tcW w:type="dxa" w:w="4206"/>
            <w:vAlign w:val="center"/>
            <w:tcMar>
              <w:top w:w="45" w:type="dxa"/>
              <w:bottom w:w="45" w:type="dxa"/>
              <w:left w:w="60" w:type="dxa"/>
              <w:right w:w="60" w:type="dxa"/>
            </w:tcMar>
            <w:tcBorders>
              <w:bottom w:val="single" w:sz="5" w:color="000000"/>
            </w:tcBorders>
          </w:tcPr>
          <w:p>
            <w:pPr>
              <w:keepNext/>
              <w:spacing w:before="20" w:after="20" w:line="240" w:lineRule="auto"/>
              <w:ind w:firstLine="0"/>
              <w:jc w:val="left"/>
            </w:pPr>
            <w:r>
              <w:rPr>
                <w:rFonts w:ascii="Times New Roman" w:hAnsi="Times New Roman" w:eastAsia="宋体"/>
                <w:b/>
                <w:sz w:val="21"/>
              </w:rPr>
              <w:t>指标</w:t>
            </w:r>
          </w:p>
        </w:tc>
        <w:tc>
          <w:tcPr>
            <w:tcW w:type="dxa" w:w="2050"/>
            <w:vAlign w:val="center"/>
            <w:tcMar>
              <w:top w:w="45" w:type="dxa"/>
              <w:bottom w:w="45" w:type="dxa"/>
              <w:left w:w="60" w:type="dxa"/>
              <w:right w:w="60" w:type="dxa"/>
            </w:tcMar>
            <w:tcBorders>
              <w:bottom w:val="single" w:sz="5" w:color="000000"/>
            </w:tcBorders>
          </w:tcPr>
          <w:p>
            <w:pPr>
              <w:keepNext/>
              <w:spacing w:before="20" w:after="20" w:line="240" w:lineRule="auto"/>
              <w:ind w:firstLine="0"/>
              <w:jc w:val="center"/>
            </w:pPr>
            <w:r>
              <w:rPr>
                <w:rFonts w:ascii="Times New Roman" w:hAnsi="Times New Roman" w:eastAsia="宋体"/>
                <w:b/>
                <w:sz w:val="21"/>
              </w:rPr>
              <w:t>填充诊断 D3</w:t>
            </w:r>
          </w:p>
        </w:tc>
        <w:tc>
          <w:tcPr>
            <w:tcW w:type="dxa" w:w="2050"/>
            <w:vAlign w:val="center"/>
            <w:tcMar>
              <w:top w:w="45" w:type="dxa"/>
              <w:bottom w:w="45" w:type="dxa"/>
              <w:left w:w="60" w:type="dxa"/>
              <w:right w:w="60" w:type="dxa"/>
            </w:tcMar>
            <w:tcBorders>
              <w:bottom w:val="single" w:sz="5" w:color="000000"/>
            </w:tcBorders>
          </w:tcPr>
          <w:p>
            <w:pPr>
              <w:keepNext/>
              <w:spacing w:before="20" w:after="20" w:line="240" w:lineRule="auto"/>
              <w:ind w:firstLine="0"/>
              <w:jc w:val="center"/>
            </w:pPr>
            <w:r>
              <w:rPr>
                <w:rFonts w:ascii="Times New Roman" w:hAnsi="Times New Roman" w:eastAsia="宋体"/>
                <w:b/>
                <w:sz w:val="21"/>
              </w:rPr>
              <w:t>紧致诊断 DC3</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非预热诊断证明数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100</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100</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标准分支调用数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598</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590</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双峰分支调用数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464</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462</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总调用数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1062</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1052</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给出候选次数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750</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747</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回退次数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312</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305</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标准分支正指数预检查回退</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312</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305</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其他回退原因计数合计</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候选与原MPFR判定不一致次数</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标准分支MPFR块合计 ns</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3,713,970</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3,773,387</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双峰分支MPFR块合计 ns</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2,762,629</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2,722,581</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两分支MPFR块合计 ns</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6,476,599</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6,495,968</w:t>
            </w:r>
          </w:p>
        </w:tc>
      </w:tr>
      <w:tr>
        <w:trPr>
          <w:cantSplit/>
        </w:trPr>
        <w:tc>
          <w:tcPr>
            <w:tcW w:type="dxa" w:w="4206"/>
            <w:vAlign w:val="center"/>
            <w:tcMar>
              <w:top w:w="45" w:type="dxa"/>
              <w:bottom w:w="45" w:type="dxa"/>
              <w:left w:w="60" w:type="dxa"/>
              <w:right w:w="60" w:type="dxa"/>
            </w:tcMar>
          </w:tcPr>
          <w:p>
            <w:pPr>
              <w:keepNext w:val="0"/>
              <w:spacing w:before="20" w:after="20" w:line="240" w:lineRule="auto"/>
              <w:ind w:firstLine="0"/>
              <w:jc w:val="left"/>
            </w:pPr>
            <w:r>
              <w:rPr>
                <w:rFonts w:ascii="Times New Roman" w:hAnsi="Times New Roman" w:eastAsia="宋体"/>
                <w:b w:val="0"/>
                <w:sz w:val="21"/>
              </w:rPr>
              <w:t>每证明MPFR块均值 ms</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0.064766</w:t>
            </w:r>
          </w:p>
        </w:tc>
        <w:tc>
          <w:tcPr>
            <w:tcW w:type="dxa" w:w="2050"/>
            <w:vAlign w:val="center"/>
            <w:tcMar>
              <w:top w:w="45" w:type="dxa"/>
              <w:bottom w:w="45" w:type="dxa"/>
              <w:left w:w="60" w:type="dxa"/>
              <w:right w:w="60" w:type="dxa"/>
            </w:tcMar>
          </w:tcPr>
          <w:p>
            <w:pPr>
              <w:keepNext w:val="0"/>
              <w:spacing w:before="20" w:after="20" w:line="240" w:lineRule="auto"/>
              <w:ind w:firstLine="0"/>
              <w:jc w:val="center"/>
            </w:pPr>
            <w:r>
              <w:rPr>
                <w:rFonts w:ascii="Times New Roman" w:hAnsi="Times New Roman" w:eastAsia="宋体"/>
                <w:b w:val="0"/>
                <w:sz w:val="21"/>
              </w:rPr>
              <w:t>0.064960</w:t>
            </w:r>
          </w:p>
        </w:tc>
      </w:tr>
    </w:tbl>
    <w:p>
      <w:pPr>
        <w:spacing w:line="288" w:lineRule="auto" w:after="120"/>
      </w:pPr>
      <w:r>
        <w:t>两组共2,114次调用，其中1,497次给出候选、617次回退；回退均为标准分支正指数预检查，占全部调用29.19%、标准分支调用51.94%。其他原因零命中及所测候选零不一致仅是有限观察，不证明全输入域正确性。影子诊断仍返回原MPFR结果；MPFR计时块包含设置、转换、比较、清理及探针开销，不是纯指数/双曲余弦微基准，也不是候选路径净加速。正文主对照采用原MPFR判定，不依赖候选路径。</w:t>
      </w:r>
    </w:p>
    <w:p>
      <w:pPr>
        <w:spacing w:line="288" w:lineRule="auto" w:after="120"/>
      </w:pPr>
      <w:r>
        <w:t>定位：内层raw/0404_diagnostic_D3.jsonl与raw/0405_diagnostic_DC3.jsonl及各自回执。每组100条非预热记录；从prove_counters中汇总标准/双峰调用[16]/[17]、候选/回退[8]/[9]、标准正指数回退[19]、MPFR块纳秒[28]/[29]和不一致[30]。其他原因由[18]、[20]—[26]合计。方括号为从0开始的实现计数器索引，不是参考文献编号。</w:t>
      </w:r>
    </w:p>
    <w:p>
      <w:pPr>
        <w:pStyle w:val="Heading1"/>
      </w:pPr>
      <w:r>
        <w:t>补充材料引用文献</w:t>
      </w:r>
    </w:p>
    <w:p>
      <w:pPr>
        <w:keepNext w:val="0"/>
        <w:keepLines/>
        <w:pageBreakBefore w:val="0"/>
        <w:widowControl/>
        <w:spacing w:line="252" w:lineRule="auto" w:before="0" w:after="80"/>
        <w:ind w:left="300" w:right="0" w:hanging="300"/>
        <w:jc w:val="both"/>
        <w:snapToGrid w:val="0"/>
      </w:pPr>
      <w:r>
        <w:rPr>
          <w:rFonts w:ascii="Times New Roman" w:hAnsi="Times New Roman" w:eastAsia="宋体" w:cs="Times New Roman"/>
          <w:sz w:val="21"/>
          <w:szCs w:val="21"/>
          <w:color w:val="000000"/>
          <w:b w:val="0"/>
        </w:rPr>
        <w:t xml:space="preserve">[</w:t>
      </w:r>
      <w:bookmarkStart w:id="3032" w:name="bib12"/>
      <w:r>
        <w:rPr>
          <w:rFonts w:ascii="Times New Roman" w:hAnsi="Times New Roman" w:eastAsia="宋体" w:cs="Times New Roman"/>
          <w:sz w:val="21"/>
          <w:szCs w:val="21"/>
          <w:color w:val="000000"/>
          <w:b w:val="0"/>
        </w:rPr>
        <w:t xml:space="preserve">12</w:t>
      </w:r>
      <w:bookmarkEnd w:id="3032"/>
      <w:r>
        <w:rPr>
          <w:rFonts w:ascii="Times New Roman" w:hAnsi="Times New Roman" w:eastAsia="宋体" w:cs="Times New Roman"/>
          <w:sz w:val="21"/>
          <w:szCs w:val="21"/>
          <w:color w:val="000000"/>
          <w:b w:val="0"/>
        </w:rPr>
        <w:t xml:space="preserve">]</w:t>
      </w:r>
      <w:r>
        <w:rPr>
          <w:rFonts w:ascii="Times New Roman" w:hAnsi="Times New Roman" w:eastAsia="宋体" w:cs="Times New Roman"/>
          <w:sz w:val="21"/>
          <w:szCs w:val="21"/>
          <w:color w:val="000000"/>
          <w:b w:val="0"/>
        </w:rPr>
        <w:t xml:space="preserve"> Margaria D, Pino A, Vesco A, D’Alconzo G, Di Scala A J, Guglielmino E, Sanna C. Implementation of a Post-Quantum Anonymous Verifiable Credential Framework. In: IEEE ISCC 2025 (QSNS). IEEE, 2025: 1–6. DOI: 10.1109/ISCC65549.2025.11325782. Author archive v3: https://zenodo.org/records/18259809.</w:t>
      </w:r>
    </w:p>
    <w:p>
      <w:pPr>
        <w:pStyle w:val="Heading2"/>
      </w:pPr>
      <w:r>
        <w:t>补充材料与代码文件对应</w:t>
      </w:r>
    </w:p>
    <w:p>
      <w:pPr>
        <w:spacing w:line="320" w:lineRule="exact" w:before="0" w:after="100"/>
      </w:pPr>
      <w:r>
        <w:t>表S1—S7：保留历史原稿表格转录及验收摘要。当前V3复现附件不含历史原始full归档，也不含原说明中所列publication/final_tables.json，历史表格不能声称由E4主实验原始记录重算。</w:t>
      </w:r>
    </w:p>
    <w:p>
      <w:pPr>
        <w:spacing w:line="320" w:lineRule="exact" w:before="0" w:after="100"/>
      </w:pPr>
      <w:r>
        <w:t>表S8—S12及表S11续：来自E4主实验JSONL及参数；V3复现附件中的原始归档为results/E4_MAIN_FULL_ORIGINAL.tar.gz，内层raw/保存记录，derived/保存原汇总，外层source/summarize_e4.py为原汇总入口。表S13为版本映射；表S14—S16分别来自内层verification/fixed_*.jsonl、严格会话重建主记录和diagnostic记录。</w:t>
      </w:r>
    </w:p>
    <w:p>
      <w:pPr>
        <w:spacing w:line="320" w:lineRule="exact" w:before="0" w:after="100"/>
      </w:pPr>
      <w:r>
        <w:t>主文图1、图2按正文语义绘制，图3—图7使用E4原始记录重绘；图7范围值见表S11续。SVG、PDF、PNG三格式各7幅及replot.py等重绘入口属于另行提供的V3图包，不应按本复现附件根目录查找。图包原说明所列draw_schematics_v2.py、plot_paper.py等名称沿用其自身目录；绘图环境需安装可用中文字体。</w:t>
      </w:r>
    </w:p>
    <w:p>
      <w:pPr>
        <w:spacing w:line="320" w:lineRule="exact" w:before="0" w:after="100"/>
      </w:pPr>
      <w:r>
        <w:t>当前V3复现附件中的入口：独立统计核查为independent/independent_recompute.py，同目录含两类负载的30对测量块CSV及independent_summary.json；smoke入口为source/run_e4.py（mode=smoke），原始smoke在results/E4_SMOKE_20261020_ORIGINAL.tar.gz；缓存地址复用回归为regression/check_pointer_reuse.py；文件清单为SHA256_MANIFEST.json。独立脚本内保留原工作目录常量，复用时须先将R、B、O指向实际解包目录与输出目录。既有smoke和缓存压力结果不等于本轮重跑full，也不等于完整Sage安全估计。</w:t>
      </w:r>
    </w:p>
    <w:sectPr>
      <w:type w:val="continuous"/>
      <w:pgSz w:w="11906" w:h="16838"/>
      <w:pgMar w:left="1800" w:right="1800" w:gutter="0" w:header="360" w:top="1440" w:footer="360" w:bottom="1440"/>
      <w:formProt w:val="false"/>
      <w:textDirection w:val="lrTb"/>
      <w:cols w:num="1" w:space="424" w:equalWidth="1"/>
      <w:pgNumType w:start="1"/>
    </w:sectPr>
  </w:body>
</w:document>
</file>

<file path=word/comments.xml><?xml version="1.0" encoding="utf-8"?>
<w:comments xmlns:w="http://schemas.openxmlformats.org/wordprocessingml/2006/main">
  <w:comment w:id="0" w:author="学术审校" w:date="2026-10-18T14:27:57Z">
    <w:p>
      <w:r>
        <w:t>将独立改为明确的代码差分口径，保留原数字和内嵌公式。</w:t>
      </w:r>
    </w:p>
  </w:comment>
  <w:comment w:id="1" w:author="学术审校" w:date="2026-10-18T14:27:57Z">
    <w:p>
      <w:r>
        <w:t>按两项具体机制与受控验证重写贡献，承认已有技巧与上游能力，不作排他首创声明。</w:t>
      </w:r>
    </w:p>
  </w:comment>
  <w:comment w:id="2" w:author="学术审校" w:date="2026-10-18T14:27:57Z">
    <w:p>
      <w:r>
        <w:t>依据ePrint及作者公开研究范围限定比较；不加入未经全文核实的35 KB、标签采样器或功能排除断言。</w:t>
      </w:r>
    </w:p>
  </w:comment>
  <w:comment w:id="3" w:author="学术审校" w:date="2026-10-18T14:27:57Z">
    <w:p>
      <w:r>
        <w:t>新增定性方法对照；原18张表、7张图和全部公式未更改。</w:t>
      </w:r>
    </w:p>
  </w:comment>
  <w:comment w:id="4" w:author="学术审校" w:date="2026-10-18T14:27:57Z">
    <w:p>
      <w:r>
        <w:t>按Springer正式页面核实页码为103–135；没有采用附件的99–130。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Latin Modern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spacing w:before="0" w:after="120" w:line="288" w:lineRule="auto"/>
      <w:ind w:firstLine="0" w:left="0" w:right="0"/>
    </w:pPr>
    <w:rPr>
      <w:rFonts w:ascii="Times New Roman" w:hAnsi="Times New Roman" w:eastAsia="宋体" w:cs="Times New Roman"/>
      <w:color w:val="000000"/>
      <w:sz w:val="21"/>
      <w:szCs w:val="21"/>
      <w:b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0" w:after="120" w:line="288" w:lineRule="auto"/>
      <w:ind w:firstLine="0" w:left="0" w:right="0"/>
      <w:outlineLvl w:val="0"/>
    </w:pPr>
    <w:rPr>
      <w:rFonts w:ascii="Times New Roman" w:hAnsi="Times New Roman" w:eastAsia="宋体" w:cs="Times New Roman"/>
      <w:b w:val="0"/>
      <w:bCs/>
      <w:color w:val="000000"/>
      <w:sz w:val="21"/>
      <w:szCs w:val="21"/>
    </w:rPr>
  </w:style>
  <w:style w:type="paragraph" w:styleId="Heading2">
    <w:name w:val="heading 2"/>
    <w:basedOn w:val="Normal"/>
    <w:next w:val="Normal"/>
    <w:link w:val="Heading2Char"/>
    <w:uiPriority w:val="9"/>
    <w:unhideWhenUsed/>
    <w:qFormat/>
    <w:rsid w:val="00FC693F"/>
    <w:pPr>
      <w:keepNext w:val="0"/>
      <w:keepLines w:val="0"/>
      <w:pageBreakBefore w:val="0"/>
      <w:spacing w:before="0" w:after="120" w:line="288" w:lineRule="auto"/>
      <w:ind w:firstLine="0" w:left="0" w:right="0"/>
      <w:outlineLvl w:val="1"/>
    </w:pPr>
    <w:rPr>
      <w:rFonts w:ascii="Times New Roman" w:hAnsi="Times New Roman" w:eastAsia="宋体" w:cs="Times New Roman"/>
      <w:b w:val="0"/>
      <w:bCs/>
      <w:color w:val="000000"/>
      <w:sz w:val="21"/>
      <w:szCs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spacing w:after="120" w:line="288" w:lineRule="auto" w:before="0"/>
      <w:ind w:firstLine="0" w:left="0" w:right="0"/>
      <w:contextualSpacing/>
    </w:pPr>
    <w:rPr>
      <w:rFonts w:ascii="Times New Roman" w:hAnsi="Times New Roman" w:eastAsia="宋体" w:cs="Times New Roman"/>
      <w:color w:val="000000"/>
      <w:spacing w:val="5"/>
      <w:kern w:val="28"/>
      <w:sz w:val="21"/>
      <w:szCs w:val="21"/>
      <w:b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numPr>
        <w:ilvl w:val="1"/>
      </w:numPr>
      <w:spacing w:before="0" w:after="120" w:line="288" w:lineRule="auto"/>
      <w:ind w:firstLine="0" w:left="0" w:right="0"/>
    </w:pPr>
    <w:rPr>
      <w:rFonts w:ascii="Times New Roman" w:hAnsi="Times New Roman" w:eastAsia="宋体" w:cs="Times New Roman"/>
      <w:i/>
      <w:iCs/>
      <w:color w:val="000000"/>
      <w:spacing w:val="15"/>
      <w:sz w:val="21"/>
      <w:szCs w:val="21"/>
      <w:b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val="0"/>
      <w:pageBreakBefore w:val="0"/>
      <w:numPr>
        <w:numId w:val="1"/>
      </w:numPr>
      <w:spacing w:before="0" w:after="120" w:line="288" w:lineRule="auto"/>
      <w:ind w:firstLine="0" w:left="0" w:right="0"/>
      <w:contextualSpacing/>
    </w:pPr>
    <w:rPr>
      <w:rFonts w:ascii="Times New Roman" w:hAnsi="Times New Roman" w:eastAsia="Noto Sans CJK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spacing w:line="288" w:lineRule="auto" w:before="0" w:after="120"/>
      <w:ind w:firstLine="0" w:left="0" w:right="0"/>
    </w:pPr>
    <w:rPr>
      <w:rFonts w:ascii="Times New Roman" w:hAnsi="Times New Roman" w:eastAsia="宋体" w:cs="Times New Roman"/>
      <w:b w:val="0"/>
      <w:bCs/>
      <w:color w:val="000000"/>
      <w:sz w:val="21"/>
      <w:szCs w:val="2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image" Target="media/image11.png"/><Relationship Id="rId22" Type="http://schemas.openxmlformats.org/officeDocument/2006/relationships/image" Target="media/image1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23" Type="http://schemas.openxmlformats.org/officeDocument/2006/relationships/comments" Target="comment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LaZer正常路径优化补充材料</dc:title>
  <dc:subject>主文对应补充证据及复现定位修订</dc:subject>
  <dc:creator>陈帅</dc:creator>
  <cp:keywords>LaZer; E4; implementation; selective disclosure; related work</cp:keywords>
  <dc:description/>
  <cp:lastModifiedBy>陈帅</cp:lastModifiedBy>
  <cp:revision>1</cp:revision>
  <dcterms:created xsi:type="dcterms:W3CDTF">2013-12-23T23:15:00Z</dcterms:created>
  <dcterms:modified xsi:type="dcterms:W3CDTF">2013-12-23T23:15:00Z</dcterms:modified>
  <cp:category/>
</cp:coreProperties>
</file>