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lazer_vector_1.svg" ContentType="image/svg+xml"/>
  <Override PartName="/word/media/lazer_vector_2.svg" ContentType="image/svg+xml"/>
  <Override PartName="/word/media/lazer_vector_3.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after="40" w:before="120" w:line="276" w:lineRule="auto"/>
        <w:widowControl/>
        <w:snapToGrid w:val="0"/>
      </w:pPr>
      <w:r>
        <w:rPr>
          <w:b/>
          <w:sz w:val="22"/>
        </w:rPr>
        <w:t>补充材料</w:t>
      </w:r>
    </w:p>
    <w:p>
      <w:pPr>
        <w:spacing w:after="40" w:before="0" w:line="276" w:lineRule="auto"/>
        <w:widowControl/>
        <w:snapToGrid w:val="0"/>
      </w:pPr>
      <w:r>
        <w:t>面向重复出示与选择性披露的LaZer匿名凭证实现优化</w:t>
      </w:r>
    </w:p>
    <w:p>
      <w:pPr>
        <w:spacing w:after="40" w:before="0" w:line="276" w:lineRule="auto"/>
        <w:widowControl/>
        <w:snapToGrid w:val="0"/>
      </w:pPr>
      <w:r>
        <w:t xml:space="preserve">本文件给出正文未展开的主实验统计、参数模型和有限回归，文献编号沿用正文。历史实验与主实验分开统计；第</w:t>
      </w:r>
      <w:fldSimple w:instr=" REF ssecS6 \h ">
        <w:r>
          <w:t>S6</w:t>
        </w:r>
      </w:fldSimple>
      <w:r>
        <w:t xml:space="preserve">节仅保留历史背景摘要，不作为主性能结论的依据。源码、实验批次及归档路径集中列于第</w:t>
      </w:r>
      <w:fldSimple w:instr=" REF ssecS7 \h ">
        <w:r>
          <w:t>S7</w:t>
        </w:r>
      </w:fldSimple>
      <w:r>
        <w:t xml:space="preserve">节。</w:t>
      </w:r>
    </w:p>
    <w:p>
      <w:pPr>
        <w:keepNext/>
        <w:spacing w:after="40" w:before="120" w:line="276" w:lineRule="auto"/>
        <w:widowControl/>
        <w:snapToGrid w:val="0"/>
      </w:pPr>
      <w:r>
        <w:rPr>
          <w:b/>
          <w:sz w:val="22"/>
        </w:rPr>
        <w:t xml:space="preserve"/>
      </w:r>
      <w:bookmarkStart w:id="1" w:name="ssecS1"/>
      <w:r>
        <w:rPr>
          <w:b/>
          <w:sz w:val="22"/>
        </w:rPr>
        <w:t>S1</w:t>
      </w:r>
      <w:bookmarkEnd w:id="1"/>
      <w:r>
        <w:rPr>
          <w:b/>
          <w:sz w:val="22"/>
        </w:rPr>
        <w:t xml:space="preserve"> 对照实现与实验材料</w:t>
      </w:r>
    </w:p>
    <w:p>
      <w:pPr>
        <w:spacing w:after="40" w:before="0" w:line="276" w:lineRule="auto"/>
        <w:widowControl/>
        <w:snapToGrid w:val="0"/>
      </w:pPr>
      <w:r>
        <w:rPr>
          <w:rFonts w:ascii="Times New Roman" w:hAnsi="Times New Roman" w:eastAsia="宋体"/>
          <w:color w:val="000000"/>
        </w:rPr>
        <w:t>主实验比较修正基线、填充优化和紧致优化，覆盖重复出示/会话重建及默认/严格验证，均保留原MPFR拒绝判定；首次准备及策略实验另设复用组合、双层复用，候选浮点只作影子诊断。附件目录与复现入口见</w:t>
      </w:r>
      <w:fldSimple w:instr=" REF ssecS7 \h ">
        <w:r>
          <w:rPr>
            <w:rFonts w:ascii="Times New Roman" w:hAnsi="Times New Roman" w:eastAsia="宋体"/>
            <w:color w:val="000000"/>
          </w:rPr>
          <w:t>S7</w:t>
        </w:r>
      </w:fldSimple>
      <w:r>
        <w:rPr>
          <w:rFonts w:ascii="Times New Roman" w:hAnsi="Times New Roman" w:eastAsia="宋体"/>
          <w:color w:val="000000"/>
        </w:rPr>
        <w:t xml:space="preserve">，补充实验见</w:t>
      </w:r>
      <w:fldSimple w:instr=" REF ssecS8 \h ">
        <w:r>
          <w:rPr>
            <w:rFonts w:ascii="Times New Roman" w:hAnsi="Times New Roman" w:eastAsia="宋体"/>
            <w:color w:val="000000"/>
          </w:rPr>
          <w:t>S8</w:t>
        </w:r>
      </w:fldSimple>
      <w:r>
        <w:rPr>
          <w:rFonts w:ascii="Times New Roman" w:hAnsi="Times New Roman" w:eastAsia="宋体"/>
          <w:color w:val="000000"/>
        </w:rPr>
        <w:t xml:space="preserve">。</w:t>
      </w:r>
    </w:p>
    <w:p>
      <w:pPr>
        <w:keepNext/>
        <w:spacing w:after="40" w:before="120" w:line="276" w:lineRule="auto"/>
        <w:widowControl/>
        <w:snapToGrid w:val="0"/>
      </w:pPr>
      <w:r>
        <w:rPr>
          <w:b/>
          <w:sz w:val="22"/>
        </w:rPr>
        <w:t>表</w:t>
      </w:r>
      <w:bookmarkStart w:id="2" w:name="stblS1"/>
      <w:r>
        <w:rPr>
          <w:b/>
          <w:sz w:val="22"/>
        </w:rPr>
        <w:t>S1</w:t>
      </w:r>
      <w:bookmarkEnd w:id="2"/>
      <w:r>
        <w:rPr>
          <w:b/>
          <w:sz w:val="22"/>
        </w:rPr>
        <w:t xml:space="preserve"> 版本与主结论的关系</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H w:val="nil" w:sz="6" w:color="000000"/>
          <w:insideV w:val="nil" w:sz="6" w:color="000000"/>
        </w:tblBorders>
      </w:tblPr>
      <w:tblGrid>
        <w:gridCol w:w="1701"/>
        <w:gridCol w:w="4989"/>
        <w:gridCol w:w="1587"/>
      </w:tblGrid>
      <w:tr>
        <w:trPr>
          <w:cantSplit/>
          <w:tblHeader/>
          <w:cantSplit/>
          <w:tblHeader/>
          <w:tblHeader/>
        </w:trPr>
        <w:tc>
          <w:tcPr>
            <w:tcW w:type="dxa" w:w="1701"/>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color w:val="000000"/>
                <w:sz w:val="18"/>
              </w:rPr>
              <w:t>版本</w:t>
            </w:r>
          </w:p>
        </w:tc>
        <w:tc>
          <w:tcPr>
            <w:tcW w:type="dxa" w:w="4989"/>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color w:val="000000"/>
                <w:sz w:val="18"/>
              </w:rPr>
              <w:t>机制或用途</w:t>
            </w:r>
          </w:p>
        </w:tc>
        <w:tc>
          <w:tcPr>
            <w:tcW w:type="dxa" w:w="1587"/>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color w:val="000000"/>
                <w:sz w:val="18"/>
              </w:rPr>
              <w:t>拒绝判定</w:t>
            </w:r>
          </w:p>
        </w:tc>
      </w:tr>
      <w:tr>
        <w:trPr>
          <w:cantSplit/>
          <w:cantSplit/>
        </w:trPr>
        <w:tc>
          <w:tcPr>
            <w:tcW w:type="dxa" w:w="1701"/>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修正基线</w:t>
            </w:r>
          </w:p>
        </w:tc>
        <w:tc>
          <w:tcPr>
            <w:tcW w:type="dxa" w:w="4989"/>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补齐校验、规范化及参数修正；采用填充关系</w:t>
            </w:r>
          </w:p>
        </w:tc>
        <w:tc>
          <w:tcPr>
            <w:tcW w:type="dxa" w:w="158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原MPFR</w:t>
            </w:r>
          </w:p>
        </w:tc>
      </w:tr>
      <w:tr>
        <w:trPr>
          <w:cantSplit/>
          <w:cantSplit/>
        </w:trPr>
        <w:tc>
          <w:tcPr>
            <w:tcW w:type="dxa" w:w="1701"/>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填充优化</w:t>
            </w:r>
          </w:p>
        </w:tc>
        <w:tc>
          <w:tcPr>
            <w:tcW w:type="dxa" w:w="4989"/>
            <w:tcMar>
              <w:top w:w="25" w:type="dxa"/>
              <w:left w:w="40" w:type="dxa"/>
              <w:bottom w:w="25" w:type="dxa"/>
              <w:right w:w="40" w:type="dxa"/>
              <w:top w:w="25" w:type="dxa"/>
              <w:bottom w:w="25" w:type="dxa"/>
              <w:left w:w="25" w:type="dxa"/>
              <w:right w:w="25" w:type="dxa"/>
            </w:tcMar>
            <w:vAlign w:val="center"/>
          </w:tcPr>
          <w:p>
            <w:pPr>
              <w:keepNext w:val="0"/>
              <w:keepLines w:val="0"/>
              <w:snapToGrid w:val="0"/>
              <w:spacing w:before="0" w:after="0" w:line="276" w:lineRule="auto"/>
              <w:ind w:left="0" w:right="0" w:firstLine="0"/>
              <w:jc w:val="center"/>
              <w:snapToGrid w:val="0"/>
            </w:pPr>
            <w:r>
              <w:rPr>
                <w:rFonts w:ascii="Times New Roman" w:hAnsi="Times New Roman" w:eastAsia="宋体"/>
                <w:b w:val="0"/>
                <w:color w:val="000000"/>
                <w:sz w:val="18"/>
              </w:rPr>
              <w:t xml:space="preserve">状态复用、R₂s外提、连续点积、延后乘积、模乘及整数守卫</w:t>
            </w:r>
          </w:p>
        </w:tc>
        <w:tc>
          <w:tcPr>
            <w:tcW w:type="dxa" w:w="158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原MPFR</w:t>
            </w:r>
          </w:p>
        </w:tc>
      </w:tr>
      <w:tr>
        <w:trPr>
          <w:cantSplit/>
          <w:cantSplit/>
        </w:trPr>
        <w:tc>
          <w:tcPr>
            <w:tcW w:type="dxa" w:w="1701"/>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紧致优化</w:t>
            </w:r>
          </w:p>
        </w:tc>
        <w:tc>
          <w:tcPr>
            <w:tcW w:type="dxa" w:w="4989"/>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在填充优化基础上仅改变关系与参数；k=0共用填充配置</w:t>
            </w:r>
          </w:p>
        </w:tc>
        <w:tc>
          <w:tcPr>
            <w:tcW w:type="dxa" w:w="158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原MPFR</w:t>
            </w:r>
          </w:p>
        </w:tc>
      </w:tr>
      <w:tr>
        <w:trPr>
          <w:cantSplit/>
          <w:cantSplit/>
        </w:trPr>
        <w:tc>
          <w:tcPr>
            <w:tcW w:type="dxa" w:w="1701"/>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复用组合／双层复用</w:t>
            </w:r>
          </w:p>
        </w:tc>
        <w:tc>
          <w:tcPr>
            <w:tcW w:type="dxa" w:w="4989"/>
            <w:tcMar>
              <w:top w:w="25" w:type="dxa"/>
              <w:left w:w="40" w:type="dxa"/>
              <w:bottom w:w="25" w:type="dxa"/>
              <w:right w:w="40" w:type="dxa"/>
              <w:top w:w="25" w:type="dxa"/>
              <w:bottom w:w="25" w:type="dxa"/>
              <w:left w:w="25" w:type="dxa"/>
              <w:right w:w="25" w:type="dxa"/>
            </w:tcMar>
            <w:vAlign w:val="center"/>
          </w:tcPr>
          <w:p>
            <w:pPr>
              <w:keepNext w:val="0"/>
              <w:keepLines w:val="0"/>
              <w:snapToGrid w:val="0"/>
              <w:spacing w:before="0" w:after="0" w:line="276" w:lineRule="auto"/>
              <w:ind w:left="0" w:right="0" w:firstLine="0"/>
              <w:jc w:val="center"/>
              <w:snapToGrid w:val="0"/>
            </w:pPr>
            <w:r>
              <w:rPr>
                <w:rFonts w:ascii="Times New Roman" w:hAnsi="Times New Roman" w:eastAsia="宋体"/>
                <w:b w:val="0"/>
                <w:color w:val="000000"/>
                <w:sz w:val="18"/>
              </w:rPr>
              <w:t xml:space="preserve">前者含脚本复用、R₂s外提及部分定宽；后者增加底层缓存，用于首次准备与策略辅助实验</w:t>
            </w:r>
          </w:p>
        </w:tc>
        <w:tc>
          <w:tcPr>
            <w:tcW w:type="dxa" w:w="158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原MPFR</w:t>
            </w:r>
          </w:p>
        </w:tc>
      </w:tr>
      <w:tr>
        <w:trPr>
          <w:cantSplit/>
          <w:cantSplit/>
        </w:trPr>
        <w:tc>
          <w:tcPr>
            <w:tcW w:type="dxa" w:w="1701"/>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填充／紧致影子诊断</w:t>
            </w:r>
          </w:p>
        </w:tc>
        <w:tc>
          <w:tcPr>
            <w:tcW w:type="dxa" w:w="4989"/>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仅记录浮点候选与回退原因，不返回候选判定</w:t>
            </w:r>
          </w:p>
        </w:tc>
        <w:tc>
          <w:tcPr>
            <w:tcW w:type="dxa" w:w="158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仍返回原MPFR</w:t>
            </w:r>
          </w:p>
        </w:tc>
      </w:tr>
    </w:tbl>
    <w:p>
      <w:pPr>
        <w:spacing w:after="40" w:before="0" w:line="276" w:lineRule="auto"/>
        <w:widowControl/>
        <w:snapToGrid w:val="0"/>
      </w:pPr>
      <w:r>
        <w:rPr>
          <w:rFonts w:ascii="Times New Roman" w:hAnsi="Times New Roman" w:eastAsia="宋体"/>
          <w:color w:val="000000"/>
        </w:rPr>
        <w:t xml:space="preserve">主实验含406项任务，原始JSONL及回执位于统一附件data/raw/，完整现场位于evidence/。原14项脚本/输入与7版本快照的核对属于既有归档，不等于独立重跑。data/raw/与evidence主档中812份原始记录及回执逐字节相同，不增加样本。原小规模回归入口见S7；新增7,800次补充会话独立列于S8。</w:t>
      </w:r>
    </w:p>
    <w:p>
      <w:pPr>
        <w:spacing w:after="40" w:before="0" w:line="276" w:lineRule="auto"/>
        <w:widowControl/>
        <w:snapToGrid w:val="0"/>
      </w:pPr>
      <w:r>
        <w:t xml:space="preserve">声明设置接口更新矩阵、公开向量及元数据；更新、清理须使旧缓存失效。接口与基线修正的源码定位见第</w:t>
      </w:r>
      <w:fldSimple w:instr=" REF ssecS7 \h ">
        <w:r>
          <w:t>S7</w:t>
        </w:r>
      </w:fldSimple>
      <w:r>
        <w:t xml:space="preserve">节，历史随机币对照见第</w:t>
      </w:r>
      <w:fldSimple w:instr=" REF ssecS6 \h ">
        <w:r>
          <w:t>S6</w:t>
        </w:r>
      </w:fldSimple>
      <w:r>
        <w:t xml:space="preserve">节；机制见正文图1及第2、3节。</w:t>
      </w:r>
    </w:p>
    <w:p>
      <w:pPr>
        <w:keepNext/>
        <w:spacing w:after="40" w:before="120" w:line="276" w:lineRule="auto"/>
        <w:widowControl/>
        <w:snapToGrid w:val="0"/>
      </w:pPr>
      <w:r>
        <w:rPr>
          <w:b/>
          <w:sz w:val="22"/>
        </w:rPr>
        <w:t/>
      </w:r>
      <w:bookmarkStart w:id="3" w:name="ssecS2"/>
      <w:r>
        <w:rPr>
          <w:b/>
          <w:sz w:val="22"/>
        </w:rPr>
        <w:t>S2</w:t>
      </w:r>
      <w:bookmarkEnd w:id="3"/>
      <w:r>
        <w:rPr>
          <w:b/>
          <w:sz w:val="22"/>
        </w:rPr>
        <w:t xml:space="preserve"> 主实验的扩展统计</w:t>
      </w:r>
    </w:p>
    <w:p>
      <w:pPr>
        <w:spacing w:after="40" w:before="0" w:line="276" w:lineRule="auto"/>
        <w:widowControl/>
        <w:snapToGrid w:val="0"/>
      </w:pPr>
      <w:r>
        <w:t>主实验3批×10块，每块每组合20次；12组合块内随机排列。P95为最近秩法。默认/严格分别使用独立随机性，不能作配对开关成本。墙钟只计本地生成/验证，CPU为进程时间，峰值RSS含其他对象，不能估纯缓存增量。严格验证下，重复出示/会话重建的紧致最大耗时为168.73/226.86 ms；超过100 ms的样本由基线296/600、358/600降至56/600、128/600。默认验证下紧致均值为68.02/85.57 ms；严格验证下紧致进程峰值RSS为68.62/88.86 MiB。有限样本不保证硬实时。</w:t>
      </w:r>
    </w:p>
    <w:p>
      <w:pPr>
        <w:keepNext/>
        <w:spacing w:after="40" w:before="120" w:line="276" w:lineRule="auto"/>
        <w:widowControl/>
        <w:snapToGrid w:val="0"/>
      </w:pPr>
      <w:r>
        <w:rPr>
          <w:rFonts w:ascii="Times New Roman" w:hAnsi="Times New Roman" w:eastAsia="宋体"/>
          <w:color w:val="000000"/>
        </w:rPr>
        <w:t>表</w:t>
      </w:r>
      <w:bookmarkStart w:id="4" w:name="stblS2"/>
      <w:r>
        <w:rPr>
          <w:rFonts w:ascii="Times New Roman" w:hAnsi="Times New Roman" w:eastAsia="宋体"/>
          <w:color w:val="000000"/>
        </w:rPr>
        <w:t>S2</w:t>
      </w:r>
      <w:bookmarkEnd w:id="4"/>
      <w:r>
        <w:rPr>
          <w:rFonts w:ascii="Times New Roman" w:hAnsi="Times New Roman" w:eastAsia="宋体"/>
          <w:color w:val="000000"/>
        </w:rPr>
        <w:t xml:space="preserve"> 默认验证结果（每组合600次）</w:t>
      </w:r>
    </w:p>
    <w:tbl>
      <w:tblPr>
        <w:jc w:val="center"/>
        <w:tblLayout w:type="fixed"/>
        <w:tblLook w:firstColumn="1" w:firstRow="1" w:lastColumn="0" w:lastRow="0" w:noHBand="0" w:noVBand="1" w:val="04A0"/>
        <w:tblW w:type="dxa" w:w="8306"/>
        <w:tblBorders>
          <w:top w:val="single" w:sz="6" w:color="000000"/>
          <w:bottom w:val="single" w:sz="6" w:color="000000"/>
          <w:left w:val="nil" w:sz="6" w:color="000000"/>
          <w:right w:val="nil" w:sz="6" w:color="000000"/>
          <w:insideH w:val="nil" w:sz="6" w:color="000000"/>
          <w:insideV w:val="nil" w:sz="6" w:color="000000"/>
        </w:tblBorders>
      </w:tblPr>
      <w:tblGrid>
        <w:gridCol w:w="1075"/>
        <w:gridCol w:w="837"/>
        <w:gridCol w:w="1433"/>
        <w:gridCol w:w="1433"/>
        <w:gridCol w:w="1553"/>
        <w:gridCol w:w="1975"/>
      </w:tblGrid>
      <w:tr>
        <w:trPr>
          <w:cantSplit/>
          <w:tblHeader/>
          <w:tblHeader/>
          <w:cantSplit/>
          <w:tblHeader/>
          <w:cantSplit/>
          <w:tblHeader/>
          <w:tblHeader/>
        </w:trPr>
        <w:tc>
          <w:tcPr>
            <w:tcW w:type="dxa" w:w="1075"/>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负载</w:t>
            </w:r>
          </w:p>
        </w:tc>
        <w:tc>
          <w:tcPr>
            <w:tcW w:type="dxa" w:w="837"/>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版本</w:t>
            </w:r>
          </w:p>
        </w:tc>
        <w:tc>
          <w:tcPr>
            <w:tcW w:type="dxa" w:w="1433"/>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生成均值/ms</w:t>
            </w:r>
          </w:p>
        </w:tc>
        <w:tc>
          <w:tcPr>
            <w:tcW w:type="dxa" w:w="1433"/>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验证均值/ms</w:t>
            </w:r>
          </w:p>
        </w:tc>
        <w:tc>
          <w:tcPr>
            <w:tcW w:type="dxa" w:w="1553"/>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出示均值/ms</w:t>
            </w:r>
          </w:p>
        </w:tc>
        <w:tc>
          <w:tcPr>
            <w:tcW w:type="dxa" w:w="1975"/>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r>
            <m:oMath>
              <m:r>
                <m:rPr>
                  <m:sty m:val="i"/>
                </m:rPr>
                <w:rPr>
                  <w:rFonts w:ascii="Cambria Math" w:hAnsi="Cambria Math" w:eastAsia="Cambria Math" w:cs="Cambria Math"/>
                  <w:sz w:val="20"/>
                </w:rPr>
                <m:t>K</m:t>
              </m:r>
              <m:r>
                <m:rPr>
                  <m:sty m:val="p"/>
                </m:rPr>
                <w:rPr>
                  <w:rFonts w:ascii="Cambria Math" w:hAnsi="Cambria Math" w:eastAsia="Cambria Math" w:cs="Cambria Math"/>
                  <w:sz w:val="20"/>
                  <w:i w:val="0"/>
                </w:rPr>
                <m:t>=</m:t>
              </m:r>
              <m:r>
                <m:rPr>
                  <m:sty m:val="p"/>
                </m:rPr>
                <w:rPr>
                  <w:rFonts w:ascii="Cambria Math" w:hAnsi="Cambria Math" w:eastAsia="Cambria Math" w:cs="Cambria Math"/>
                  <w:sz w:val="20"/>
                </w:rPr>
                <m:t>5.5</m:t>
              </m:r>
            </m:oMath>
            <w:r>
              <w:rPr>
                <w:rFonts w:ascii="Times New Roman" w:hAnsi="Times New Roman" w:eastAsia="宋体"/>
                <w:b/>
                <w:color w:val="000000"/>
                <w:sz w:val="18"/>
              </w:rPr>
              <w:t>预测/ms</w:t>
            </w:r>
          </w:p>
        </w:tc>
      </w:tr>
      <w:tr>
        <w:trPr>
          <w:cantSplit/>
          <w:cantSplit/>
          <w:cantSplit/>
        </w:trPr>
        <w:tc>
          <w:tcPr>
            <w:tcW w:type="dxa" w:w="1075"/>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重复出示</w:t>
            </w:r>
          </w:p>
        </w:tc>
        <w:tc>
          <w:tcPr>
            <w:tcW w:type="dxa" w:w="837"/>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修正基线</w:t>
            </w:r>
          </w:p>
        </w:tc>
        <w:tc>
          <w:tcPr>
            <w:tcW w:type="dxa" w:w="143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76.57</w:t>
            </w:r>
          </w:p>
        </w:tc>
        <w:tc>
          <w:tcPr>
            <w:tcW w:type="dxa" w:w="143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33.06</w:t>
            </w:r>
          </w:p>
        </w:tc>
        <w:tc>
          <w:tcPr>
            <w:tcW w:type="dxa" w:w="155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109.63</w:t>
            </w:r>
          </w:p>
        </w:tc>
        <w:tc>
          <w:tcPr>
            <w:tcW w:type="dxa" w:w="1975"/>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71.36</w:t>
            </w:r>
          </w:p>
        </w:tc>
      </w:tr>
      <w:tr>
        <w:trPr>
          <w:cantSplit/>
          <w:cantSplit/>
          <w:cantSplit/>
        </w:trPr>
        <w:tc>
          <w:tcPr>
            <w:tcW w:type="dxa" w:w="1075"/>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重复出示</w:t>
            </w:r>
          </w:p>
        </w:tc>
        <w:tc>
          <w:tcPr>
            <w:tcW w:type="dxa" w:w="837"/>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填充优化</w:t>
            </w:r>
          </w:p>
        </w:tc>
        <w:tc>
          <w:tcPr>
            <w:tcW w:type="dxa" w:w="143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52.26</w:t>
            </w:r>
          </w:p>
        </w:tc>
        <w:tc>
          <w:tcPr>
            <w:tcW w:type="dxa" w:w="143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19.22</w:t>
            </w:r>
          </w:p>
        </w:tc>
        <w:tc>
          <w:tcPr>
            <w:tcW w:type="dxa" w:w="155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71.47</w:t>
            </w:r>
          </w:p>
        </w:tc>
        <w:tc>
          <w:tcPr>
            <w:tcW w:type="dxa" w:w="1975"/>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48.29</w:t>
            </w:r>
          </w:p>
        </w:tc>
      </w:tr>
      <w:tr>
        <w:trPr>
          <w:cantSplit/>
          <w:cantSplit/>
          <w:cantSplit/>
        </w:trPr>
        <w:tc>
          <w:tcPr>
            <w:tcW w:type="dxa" w:w="1075"/>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重复出示</w:t>
            </w:r>
          </w:p>
        </w:tc>
        <w:tc>
          <w:tcPr>
            <w:tcW w:type="dxa" w:w="837"/>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紧致优化</w:t>
            </w:r>
          </w:p>
        </w:tc>
        <w:tc>
          <w:tcPr>
            <w:tcW w:type="dxa" w:w="143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49.80</w:t>
            </w:r>
          </w:p>
        </w:tc>
        <w:tc>
          <w:tcPr>
            <w:tcW w:type="dxa" w:w="143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18.22</w:t>
            </w:r>
          </w:p>
        </w:tc>
        <w:tc>
          <w:tcPr>
            <w:tcW w:type="dxa" w:w="155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68.02</w:t>
            </w:r>
          </w:p>
        </w:tc>
        <w:tc>
          <w:tcPr>
            <w:tcW w:type="dxa" w:w="1975"/>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46.19</w:t>
            </w:r>
          </w:p>
        </w:tc>
      </w:tr>
      <w:tr>
        <w:trPr>
          <w:cantSplit/>
          <w:cantSplit/>
          <w:cantSplit/>
        </w:trPr>
        <w:tc>
          <w:tcPr>
            <w:tcW w:type="dxa" w:w="1075"/>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会话重建</w:t>
            </w:r>
          </w:p>
        </w:tc>
        <w:tc>
          <w:tcPr>
            <w:tcW w:type="dxa" w:w="837"/>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修正基线</w:t>
            </w:r>
          </w:p>
        </w:tc>
        <w:tc>
          <w:tcPr>
            <w:tcW w:type="dxa" w:w="143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80.46</w:t>
            </w:r>
          </w:p>
        </w:tc>
        <w:tc>
          <w:tcPr>
            <w:tcW w:type="dxa" w:w="143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35.83</w:t>
            </w:r>
          </w:p>
        </w:tc>
        <w:tc>
          <w:tcPr>
            <w:tcW w:type="dxa" w:w="155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116.29</w:t>
            </w:r>
          </w:p>
        </w:tc>
        <w:tc>
          <w:tcPr>
            <w:tcW w:type="dxa" w:w="1975"/>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75.08</w:t>
            </w:r>
          </w:p>
        </w:tc>
      </w:tr>
      <w:tr>
        <w:trPr>
          <w:cantSplit/>
          <w:cantSplit/>
          <w:cantSplit/>
        </w:trPr>
        <w:tc>
          <w:tcPr>
            <w:tcW w:type="dxa" w:w="1075"/>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会话重建</w:t>
            </w:r>
          </w:p>
        </w:tc>
        <w:tc>
          <w:tcPr>
            <w:tcW w:type="dxa" w:w="837"/>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填充优化</w:t>
            </w:r>
          </w:p>
        </w:tc>
        <w:tc>
          <w:tcPr>
            <w:tcW w:type="dxa" w:w="143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62.01</w:t>
            </w:r>
          </w:p>
        </w:tc>
        <w:tc>
          <w:tcPr>
            <w:tcW w:type="dxa" w:w="143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27.25</w:t>
            </w:r>
          </w:p>
        </w:tc>
        <w:tc>
          <w:tcPr>
            <w:tcW w:type="dxa" w:w="155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89.27</w:t>
            </w:r>
          </w:p>
        </w:tc>
        <w:tc>
          <w:tcPr>
            <w:tcW w:type="dxa" w:w="1975"/>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57.65</w:t>
            </w:r>
          </w:p>
        </w:tc>
      </w:tr>
      <w:tr>
        <w:trPr>
          <w:cantSplit/>
          <w:cantSplit/>
          <w:cantSplit/>
        </w:trPr>
        <w:tc>
          <w:tcPr>
            <w:tcW w:type="dxa" w:w="1075"/>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会话重建</w:t>
            </w:r>
          </w:p>
        </w:tc>
        <w:tc>
          <w:tcPr>
            <w:tcW w:type="dxa" w:w="837"/>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紧致优化</w:t>
            </w:r>
          </w:p>
        </w:tc>
        <w:tc>
          <w:tcPr>
            <w:tcW w:type="dxa" w:w="143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59.62</w:t>
            </w:r>
          </w:p>
        </w:tc>
        <w:tc>
          <w:tcPr>
            <w:tcW w:type="dxa" w:w="143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25.95</w:t>
            </w:r>
          </w:p>
        </w:tc>
        <w:tc>
          <w:tcPr>
            <w:tcW w:type="dxa" w:w="1553"/>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85.57</w:t>
            </w:r>
          </w:p>
        </w:tc>
        <w:tc>
          <w:tcPr>
            <w:tcW w:type="dxa" w:w="1975"/>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55.23</w:t>
            </w:r>
          </w:p>
        </w:tc>
      </w:tr>
    </w:tbl>
    <w:p>
      <w:pPr>
        <w:keepNext/>
        <w:spacing w:after="40" w:before="120" w:line="276" w:lineRule="auto"/>
        <w:widowControl/>
        <w:snapToGrid w:val="0"/>
      </w:pPr>
      <w:r>
        <w:rPr>
          <w:rFonts w:ascii="Times New Roman" w:hAnsi="Times New Roman" w:eastAsia="宋体"/>
          <w:color w:val="000000"/>
        </w:rPr>
        <w:t>表</w:t>
      </w:r>
      <w:bookmarkStart w:id="5" w:name="stblS3"/>
      <w:r>
        <w:rPr>
          <w:rFonts w:ascii="Times New Roman" w:hAnsi="Times New Roman" w:eastAsia="宋体"/>
          <w:color w:val="000000"/>
        </w:rPr>
        <w:t>S3</w:t>
      </w:r>
      <w:bookmarkEnd w:id="5"/>
      <w:r>
        <w:rPr>
          <w:rFonts w:ascii="Times New Roman" w:hAnsi="Times New Roman" w:eastAsia="宋体"/>
          <w:color w:val="000000"/>
        </w:rPr>
        <w:t xml:space="preserve"> 严格验证的回归与资源（每组合600次）</w:t>
      </w:r>
    </w:p>
    <w:tbl>
      <w:tblPr>
        <w:jc w:val="center"/>
        <w:tblLayout w:type="fixed"/>
        <w:tblLook w:firstColumn="1" w:firstRow="1" w:lastColumn="0" w:lastRow="0" w:noHBand="0" w:noVBand="1" w:val="04A0"/>
        <w:tblW w:type="dxa" w:w="8306"/>
        <w:tblBorders>
          <w:top w:val="single" w:sz="6" w:color="000000"/>
          <w:bottom w:val="single" w:sz="6" w:color="000000"/>
          <w:left w:val="nil" w:sz="6" w:color="000000"/>
          <w:right w:val="nil" w:sz="6" w:color="000000"/>
          <w:insideH w:val="nil" w:sz="6" w:color="000000"/>
          <w:insideV w:val="nil" w:sz="6" w:color="000000"/>
        </w:tblBorders>
      </w:tblPr>
      <w:tblGrid>
        <w:gridCol w:w="1089"/>
        <w:gridCol w:w="1838"/>
        <w:gridCol w:w="953"/>
        <w:gridCol w:w="1498"/>
        <w:gridCol w:w="1498"/>
        <w:gridCol w:w="1430"/>
      </w:tblGrid>
      <w:tr>
        <w:trPr>
          <w:cantSplit/>
          <w:tblHeader/>
          <w:tblHeader/>
          <w:cantSplit/>
          <w:tblHeader/>
          <w:cantSplit/>
          <w:tblHeader/>
          <w:tblHeader/>
        </w:trPr>
        <w:tc>
          <w:tcPr>
            <w:tcW w:type="dxa" w:w="1089"/>
            <w:vAlign w:val="center"/>
            <w:tcMar>
              <w:top w:w="35" w:type="dxa"/>
              <w:bottom w:w="35" w:type="dxa"/>
              <w:left w:w="55" w:type="dxa"/>
              <w:right w:w="5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负载/版本</w:t>
            </w:r>
          </w:p>
        </w:tc>
        <w:tc>
          <w:tcPr>
            <w:tcW w:type="dxa" w:w="1838"/>
            <w:vAlign w:val="center"/>
            <w:tcMar>
              <w:top w:w="35" w:type="dxa"/>
              <w:bottom w:w="35" w:type="dxa"/>
              <w:left w:w="55" w:type="dxa"/>
              <w:right w:w="5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r>
            <w:r>
              <w:rPr>
                <w:rFonts w:ascii="Times New Roman" w:hAnsi="Times New Roman" w:eastAsia="宋体"/>
                <w:b/>
                <w:color w:val="000000"/>
                <w:sz w:val="18"/>
              </w:rPr>
              <w:t>截距</w:t>
            </w:r>
            <m:oMath>
              <m:r>
                <m:rPr>
                  <m:sty m:val="i"/>
                </m:rPr>
                <w:rPr>
                  <w:rFonts w:ascii="Cambria Math" w:hAnsi="Cambria Math" w:eastAsia="Cambria Math" w:cs="Cambria Math"/>
                  <w:sz w:val="20"/>
                  <w:b w:val="0"/>
                  <w:i w:val="1"/>
                </w:rPr>
                <m:t>a</m:t>
              </m:r>
            </m:oMath>
            <w:r>
              <w:rPr>
                <w:rFonts w:ascii="Times New Roman" w:hAnsi="Times New Roman" w:eastAsia="宋体"/>
                <w:b/>
                <w:color w:val="000000"/>
                <w:sz w:val="18"/>
              </w:rPr>
              <w:t>/ms；斜率</w:t>
            </w:r>
            <m:oMath>
              <m:r>
                <m:rPr>
                  <m:sty m:val="i"/>
                </m:rPr>
                <w:rPr>
                  <w:rFonts w:ascii="Cambria Math" w:hAnsi="Cambria Math" w:eastAsia="Cambria Math" w:cs="Cambria Math"/>
                  <w:sz w:val="20"/>
                  <w:b w:val="0"/>
                  <w:i w:val="1"/>
                </w:rPr>
                <m:t>b</m:t>
              </m:r>
            </m:oMath>
            <w:r>
              <w:rPr>
                <w:rFonts w:ascii="Times New Roman" w:hAnsi="Times New Roman" w:eastAsia="宋体"/>
                <w:b/>
                <w:color w:val="000000"/>
                <w:sz w:val="18"/>
              </w:rPr>
              <w:t>/(ms/次)</w:t>
            </w:r>
          </w:p>
        </w:tc>
        <w:tc>
          <w:tcPr>
            <w:tcW w:type="dxa" w:w="953"/>
            <w:vAlign w:val="center"/>
            <w:tcMar>
              <w:top w:w="35" w:type="dxa"/>
              <w:bottom w:w="35" w:type="dxa"/>
              <w:left w:w="55" w:type="dxa"/>
              <w:right w:w="5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r>
            <w:r>
              <w:rPr>
                <w:rFonts w:ascii="Times New Roman" w:hAnsi="Times New Roman" w:eastAsia="宋体"/>
                <w:b/>
                <w:color w:val="000000"/>
                <w:sz w:val="18"/>
              </w:rPr>
              <w:t>决定系数</w:t>
            </w:r>
            <m:oMath>
              <m:sSup>
                <m:e>
                  <m:r>
                    <m:rPr>
                      <m:sty m:val="i"/>
                    </m:rPr>
                    <w:rPr>
                      <w:rFonts w:ascii="Cambria Math" w:hAnsi="Cambria Math" w:eastAsia="Cambria Math" w:cs="Cambria Math"/>
                      <w:sz w:val="20"/>
                    </w:rPr>
                    <m:t>R</m:t>
                  </m:r>
                </m:e>
                <m:sup>
                  <m:r>
                    <m:rPr>
                      <m:sty m:val="p"/>
                    </m:rPr>
                    <w:rPr>
                      <w:rFonts w:ascii="Cambria Math" w:hAnsi="Cambria Math" w:eastAsia="Cambria Math" w:cs="Cambria Math"/>
                      <w:sz w:val="20"/>
                    </w:rPr>
                    <m:t>2</m:t>
                  </m:r>
                </m:sup>
              </m:sSup>
            </m:oMath>
            <w:r>
              <w:rPr>
                <w:rFonts w:ascii="Times New Roman" w:hAnsi="Times New Roman" w:eastAsia="宋体"/>
                <w:b/>
                <w:color w:val="000000"/>
                <w:sz w:val="18"/>
              </w:rPr>
              <w:t>/1</w:t>
            </w:r>
          </w:p>
        </w:tc>
        <w:tc>
          <w:tcPr>
            <w:tcW w:type="dxa" w:w="1498"/>
            <w:vAlign w:val="center"/>
            <w:tcMar>
              <w:top w:w="35" w:type="dxa"/>
              <w:bottom w:w="35" w:type="dxa"/>
              <w:left w:w="55" w:type="dxa"/>
              <w:right w:w="5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生成CPU均值/ms</w:t>
            </w:r>
          </w:p>
        </w:tc>
        <w:tc>
          <w:tcPr>
            <w:tcW w:type="dxa" w:w="1498"/>
            <w:vAlign w:val="center"/>
            <w:tcMar>
              <w:top w:w="35" w:type="dxa"/>
              <w:bottom w:w="35" w:type="dxa"/>
              <w:left w:w="55" w:type="dxa"/>
              <w:right w:w="5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验证CPU均值/ms</w:t>
            </w:r>
          </w:p>
        </w:tc>
        <w:tc>
          <w:tcPr>
            <w:tcW w:type="dxa" w:w="1430"/>
            <w:vAlign w:val="center"/>
            <w:tcMar>
              <w:top w:w="35" w:type="dxa"/>
              <w:bottom w:w="35" w:type="dxa"/>
              <w:left w:w="55" w:type="dxa"/>
              <w:right w:w="5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峰值RSS/MiB</w:t>
            </w:r>
          </w:p>
        </w:tc>
      </w:tr>
      <w:tr>
        <w:trPr>
          <w:cantSplit/>
          <w:cantSplit/>
          <w:cantSplit/>
        </w:trPr>
        <w:tc>
          <w:tcPr>
            <w:tcW w:type="dxa" w:w="1089"/>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 xml:space="preserve">重复出示 / </w:t>
              <w:br/>
              <w:t xml:space="preserve">修正基线</w:t>
            </w:r>
          </w:p>
        </w:tc>
        <w:tc>
          <w:tcPr>
            <w:tcW w:type="dxa" w:w="183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41.985 / 5.313</w:t>
            </w:r>
          </w:p>
        </w:tc>
        <w:tc>
          <w:tcPr>
            <w:tcW w:type="dxa" w:w="953"/>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0.99741</w:t>
            </w:r>
          </w:p>
        </w:tc>
        <w:tc>
          <w:tcPr>
            <w:tcW w:type="dxa" w:w="149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76.29</w:t>
            </w:r>
          </w:p>
        </w:tc>
        <w:tc>
          <w:tcPr>
            <w:tcW w:type="dxa" w:w="149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32.96</w:t>
            </w:r>
          </w:p>
        </w:tc>
        <w:tc>
          <w:tcPr>
            <w:tcW w:type="dxa" w:w="1430"/>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68.95</w:t>
            </w:r>
          </w:p>
        </w:tc>
      </w:tr>
      <w:tr>
        <w:trPr>
          <w:cantSplit/>
          <w:cantSplit/>
          <w:cantSplit/>
        </w:trPr>
        <w:tc>
          <w:tcPr>
            <w:tcW w:type="dxa" w:w="1089"/>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 xml:space="preserve">重复出示 / </w:t>
              <w:br/>
              <w:t xml:space="preserve">填充优化</w:t>
            </w:r>
          </w:p>
        </w:tc>
        <w:tc>
          <w:tcPr>
            <w:tcW w:type="dxa" w:w="183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24.459 / 4.338</w:t>
            </w:r>
          </w:p>
        </w:tc>
        <w:tc>
          <w:tcPr>
            <w:tcW w:type="dxa" w:w="953"/>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0.99722</w:t>
            </w:r>
          </w:p>
        </w:tc>
        <w:tc>
          <w:tcPr>
            <w:tcW w:type="dxa" w:w="149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50.15</w:t>
            </w:r>
          </w:p>
        </w:tc>
        <w:tc>
          <w:tcPr>
            <w:tcW w:type="dxa" w:w="149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19.27</w:t>
            </w:r>
          </w:p>
        </w:tc>
        <w:tc>
          <w:tcPr>
            <w:tcW w:type="dxa" w:w="1430"/>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70.83</w:t>
            </w:r>
          </w:p>
        </w:tc>
      </w:tr>
      <w:tr>
        <w:trPr>
          <w:cantSplit/>
          <w:cantSplit/>
          <w:cantSplit/>
        </w:trPr>
        <w:tc>
          <w:tcPr>
            <w:tcW w:type="dxa" w:w="1089"/>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 xml:space="preserve">重复出示 / </w:t>
              <w:br/>
              <w:t xml:space="preserve">紧致优化</w:t>
            </w:r>
          </w:p>
        </w:tc>
        <w:tc>
          <w:tcPr>
            <w:tcW w:type="dxa" w:w="183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23.306 / 4.199</w:t>
            </w:r>
          </w:p>
        </w:tc>
        <w:tc>
          <w:tcPr>
            <w:tcW w:type="dxa" w:w="953"/>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0.98999</w:t>
            </w:r>
          </w:p>
        </w:tc>
        <w:tc>
          <w:tcPr>
            <w:tcW w:type="dxa" w:w="149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48.43</w:t>
            </w:r>
          </w:p>
        </w:tc>
        <w:tc>
          <w:tcPr>
            <w:tcW w:type="dxa" w:w="149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18.33</w:t>
            </w:r>
          </w:p>
        </w:tc>
        <w:tc>
          <w:tcPr>
            <w:tcW w:type="dxa" w:w="1430"/>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68.62</w:t>
            </w:r>
          </w:p>
        </w:tc>
      </w:tr>
      <w:tr>
        <w:trPr>
          <w:cantSplit/>
          <w:cantSplit/>
          <w:cantSplit/>
        </w:trPr>
        <w:tc>
          <w:tcPr>
            <w:tcW w:type="dxa" w:w="1089"/>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 xml:space="preserve">会话重建 / </w:t>
              <w:br/>
              <w:t xml:space="preserve">修正基线</w:t>
            </w:r>
          </w:p>
        </w:tc>
        <w:tc>
          <w:tcPr>
            <w:tcW w:type="dxa" w:w="183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45.622 / 5.404</w:t>
            </w:r>
          </w:p>
        </w:tc>
        <w:tc>
          <w:tcPr>
            <w:tcW w:type="dxa" w:w="953"/>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0.99221</w:t>
            </w:r>
          </w:p>
        </w:tc>
        <w:tc>
          <w:tcPr>
            <w:tcW w:type="dxa" w:w="149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78.07</w:t>
            </w:r>
          </w:p>
        </w:tc>
        <w:tc>
          <w:tcPr>
            <w:tcW w:type="dxa" w:w="149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35.94</w:t>
            </w:r>
          </w:p>
        </w:tc>
        <w:tc>
          <w:tcPr>
            <w:tcW w:type="dxa" w:w="1430"/>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86.17</w:t>
            </w:r>
          </w:p>
        </w:tc>
      </w:tr>
      <w:tr>
        <w:trPr>
          <w:cantSplit/>
          <w:cantSplit/>
          <w:cantSplit/>
        </w:trPr>
        <w:tc>
          <w:tcPr>
            <w:tcW w:type="dxa" w:w="1089"/>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 xml:space="preserve">会话重建 / </w:t>
              <w:br/>
              <w:t xml:space="preserve">填充优化</w:t>
            </w:r>
          </w:p>
        </w:tc>
        <w:tc>
          <w:tcPr>
            <w:tcW w:type="dxa" w:w="183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33.657 / 4.337</w:t>
            </w:r>
          </w:p>
        </w:tc>
        <w:tc>
          <w:tcPr>
            <w:tcW w:type="dxa" w:w="953"/>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0.99802</w:t>
            </w:r>
          </w:p>
        </w:tc>
        <w:tc>
          <w:tcPr>
            <w:tcW w:type="dxa" w:w="149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63.13</w:t>
            </w:r>
          </w:p>
        </w:tc>
        <w:tc>
          <w:tcPr>
            <w:tcW w:type="dxa" w:w="149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27.20</w:t>
            </w:r>
          </w:p>
        </w:tc>
        <w:tc>
          <w:tcPr>
            <w:tcW w:type="dxa" w:w="1430"/>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90.78</w:t>
            </w:r>
          </w:p>
        </w:tc>
      </w:tr>
      <w:tr>
        <w:trPr>
          <w:cantSplit/>
          <w:cantSplit/>
          <w:cantSplit/>
        </w:trPr>
        <w:tc>
          <w:tcPr>
            <w:tcW w:type="dxa" w:w="1089"/>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 xml:space="preserve">会话重建 / </w:t>
              <w:br/>
              <w:t xml:space="preserve">紧致优化</w:t>
            </w:r>
          </w:p>
        </w:tc>
        <w:tc>
          <w:tcPr>
            <w:tcW w:type="dxa" w:w="183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32.258 / 4.194</w:t>
            </w:r>
          </w:p>
        </w:tc>
        <w:tc>
          <w:tcPr>
            <w:tcW w:type="dxa" w:w="953"/>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0.99372</w:t>
            </w:r>
          </w:p>
        </w:tc>
        <w:tc>
          <w:tcPr>
            <w:tcW w:type="dxa" w:w="149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58.13</w:t>
            </w:r>
          </w:p>
        </w:tc>
        <w:tc>
          <w:tcPr>
            <w:tcW w:type="dxa" w:w="1498"/>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25.99</w:t>
            </w:r>
          </w:p>
        </w:tc>
        <w:tc>
          <w:tcPr>
            <w:tcW w:type="dxa" w:w="1430"/>
            <w:vAlign w:val="center"/>
            <w:tcMar>
              <w:top w:w="35" w:type="dxa"/>
              <w:bottom w:w="35" w:type="dxa"/>
              <w:left w:w="55" w:type="dxa"/>
              <w:right w:w="5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8"/>
                <w:b w:val="0"/>
              </w:rPr>
              <w:t>88.86</w:t>
            </w:r>
          </w:p>
        </w:tc>
      </w:tr>
    </w:tbl>
    <w:p>
      <w:pPr>
        <w:spacing w:after="40" w:before="0" w:line="276" w:lineRule="auto"/>
        <w:widowControl/>
        <w:snapToGrid w:val="0"/>
      </w:pPr>
      <w:r>
        <w:t xml:space="preserve">回归Tprove=a+bK+e在</w:t>
      </w:r>
      <w:r>
        <w:rPr>
          <w:i w:val="1"/>
        </w:rPr>
        <w:t xml:space="preserve">K</w:t>
      </w:r>
      <w:r>
        <w:t xml:space="preserve">=5.5处仅作描述性比较；该值非整数尝试数观测，a/b并非完整成本因果分离。共同尝试处紧致生成预测降3.97%/3.80%，三批4.17%/3.74%/3.97%及3.78%/3.35%/4.27%；高R²不能排除漂移。Bootstrap以批次为层，每批从原10对块中有放回抽取10对，合计30对；按此过程重复25,000次，种子为20261020。区间仅条件于所测三批，且不调整</w:t>
      </w:r>
      <w:r>
        <w:rPr>
          <w:i w:val="1"/>
        </w:rPr>
        <w:t xml:space="preserve">K</w:t>
      </w:r>
      <w:r>
        <w:t xml:space="preserve">。正文图3已列区间及改善块数，以下保留原分块图。</w:t>
      </w:r>
    </w:p>
    <w:p>
      <w:pPr>
        <w:spacing w:after="40" w:before="0" w:line="276" w:lineRule="auto"/>
        <w:widowControl/>
        <w:snapToGrid w:val="0"/>
      </w:pPr>
      <w:r>
        <w:t>主实验中，基线至紧致优化的合计均值降幅，重复出示三批依次为40.55%、37.89%和38.19%，会话重建依次为26.25%、25.04%和27.33%；两类负载均为30/30个对应块改善。以上数值对应原7,200次主实验，与S8的补实验分开统计。</w:t>
      </w:r>
    </w:p>
    <w:p>
      <w:pPr>
        <w:keepNext/>
        <w:jc w:val="center"/>
        <w:keepLines/>
        <w:snapToGrid w:val="0"/>
      </w:pPr>
      <w:r>
        <w:drawing>
          <wp:inline xmlns:a="http://schemas.openxmlformats.org/drawingml/2006/main" xmlns:pic="http://schemas.openxmlformats.org/drawingml/2006/picture">
            <wp:extent cx="5256000" cy="3703588"/>
            <wp:docPr id="1" name="Picture 1" descr="图S1_回归与全部分块：内嵌SVG矢量；PNG兼容预览。"/>
            <wp:cNvGraphicFramePr>
              <a:graphicFrameLocks noChangeAspect="1"/>
            </wp:cNvGraphicFramePr>
            <a:graphic>
              <a:graphicData uri="http://schemas.openxmlformats.org/drawingml/2006/picture">
                <pic:pic>
                  <pic:nvPicPr>
                    <pic:cNvPr id="0" name="image.png"/>
                    <pic:cNvPicPr/>
                  </pic:nvPicPr>
                  <pic:blipFill>
                    <a:blip r:embed="rId7">
                      <a:extLst>
                        <a:ext uri="{96DAC541-7B7A-43D3-8B79-37D633B846F1}">
                          <asvg:svgBlip xmlns:asvg="http://schemas.microsoft.com/office/drawing/2016/SVG/main" r:embed="rId4"/>
                        </a:ext>
                      </a:extLst>
                    </a:blip>
                    <a:stretch>
                      <a:fillRect/>
                    </a:stretch>
                  </pic:blipFill>
                  <pic:spPr>
                    <a:xfrm>
                      <a:off x="0" y="0"/>
                      <a:ext cx="5256000" cy="3703588"/>
                    </a:xfrm>
                    <a:prstGeom prst="rect"/>
                  </pic:spPr>
                </pic:pic>
              </a:graphicData>
            </a:graphic>
          </wp:inline>
        </w:drawing>
      </w:r>
    </w:p>
    <w:p>
      <w:pPr>
        <w:spacing w:after="40" w:before="0" w:line="276" w:lineRule="auto"/>
        <w:widowControl/>
        <w:snapToGrid w:val="0"/>
      </w:pPr>
      <w:r>
        <w:rPr>
          <w:rFonts w:ascii="Times New Roman" w:hAnsi="Times New Roman" w:eastAsia="宋体"/>
          <w:color w:val="000000"/>
        </w:rPr>
        <w:t>图</w:t>
      </w:r>
      <w:bookmarkStart w:id="6" w:name="sfigS1"/>
      <w:r>
        <w:rPr>
          <w:rFonts w:ascii="Times New Roman" w:hAnsi="Times New Roman" w:eastAsia="宋体"/>
          <w:color w:val="000000"/>
        </w:rPr>
        <w:t>S1</w:t>
      </w:r>
      <w:bookmarkEnd w:id="6"/>
      <w:r>
        <w:rPr>
          <w:rFonts w:ascii="Times New Roman" w:hAnsi="Times New Roman" w:eastAsia="宋体"/>
          <w:color w:val="000000"/>
        </w:rPr>
        <w:t xml:space="preserve"> 共同K=5.5的生成预测（上）与全部30对块的紧致化总时间降幅（下）。空白柱为正降幅，斜线柱为负降幅，竖向虚线分批。</w:t>
      </w:r>
    </w:p>
    <w:p>
      <w:pPr>
        <w:keepNext/>
        <w:jc w:val="center"/>
        <w:keepLines/>
        <w:snapToGrid w:val="0"/>
      </w:pPr>
      <w:r>
        <w:drawing>
          <wp:inline xmlns:a="http://schemas.openxmlformats.org/drawingml/2006/main" xmlns:pic="http://schemas.openxmlformats.org/drawingml/2006/picture">
            <wp:extent cx="5256000" cy="2197739"/>
            <wp:docPr id="2" name="Picture 2" descr="图S2_严格验证经验分布：内嵌SVG矢量；PNG兼容预览。"/>
            <wp:cNvGraphicFramePr>
              <a:graphicFrameLocks noChangeAspect="1"/>
            </wp:cNvGraphicFramePr>
            <a:graphic>
              <a:graphicData uri="http://schemas.openxmlformats.org/drawingml/2006/picture">
                <pic:pic>
                  <pic:nvPicPr>
                    <pic:cNvPr id="0" name="image.png"/>
                    <pic:cNvPicPr/>
                  </pic:nvPicPr>
                  <pic:blipFill>
                    <a:blip r:embed="rId8">
                      <a:extLst>
                        <a:ext uri="{96DAC541-7B7A-43D3-8B79-37D633B846F1}">
                          <asvg:svgBlip xmlns:asvg="http://schemas.microsoft.com/office/drawing/2016/SVG/main" r:embed="rId5"/>
                        </a:ext>
                      </a:extLst>
                    </a:blip>
                    <a:stretch>
                      <a:fillRect/>
                    </a:stretch>
                  </pic:blipFill>
                  <pic:spPr>
                    <a:xfrm>
                      <a:off x="0" y="0"/>
                      <a:ext cx="5256000" cy="2197739"/>
                    </a:xfrm>
                    <a:prstGeom prst="rect"/>
                  </pic:spPr>
                </pic:pic>
              </a:graphicData>
            </a:graphic>
          </wp:inline>
        </w:drawing>
      </w:r>
    </w:p>
    <w:p>
      <w:pPr>
        <w:spacing w:after="40" w:before="0" w:line="276" w:lineRule="auto"/>
        <w:widowControl/>
        <w:snapToGrid w:val="0"/>
      </w:pPr>
      <w:r>
        <w:t xml:space="preserve">图</w:t>
      </w:r>
      <w:bookmarkStart w:id="7" w:name="sfigS2"/>
      <w:r>
        <w:t>S2</w:t>
      </w:r>
      <w:bookmarkEnd w:id="7"/>
      <w:r>
        <w:t xml:space="preserve"> 严格验证下本地出示耗时的完整经验分布</w:t>
      </w:r>
    </w:p>
    <w:p>
      <w:pPr>
        <w:keepNext/>
        <w:spacing w:after="40" w:before="120" w:line="276" w:lineRule="auto"/>
        <w:widowControl/>
        <w:snapToGrid w:val="0"/>
      </w:pPr>
      <w:r>
        <w:rPr>
          <w:b/>
          <w:sz w:val="22"/>
        </w:rPr>
        <w:t/>
      </w:r>
      <w:bookmarkStart w:id="8" w:name="ssecS3"/>
      <w:r>
        <w:rPr>
          <w:b/>
          <w:sz w:val="22"/>
        </w:rPr>
        <w:t>S3</w:t>
      </w:r>
      <w:bookmarkEnd w:id="8"/>
      <w:r>
        <w:rPr>
          <w:b/>
          <w:sz w:val="22"/>
        </w:rPr>
        <w:t xml:space="preserve"> 首次准备 策略变化与披露扫描</w:t>
      </w:r>
    </w:p>
    <w:p>
      <w:pPr>
        <w:spacing w:after="40" w:before="0" w:line="276" w:lineRule="auto"/>
        <w:widowControl/>
        <w:snapToGrid w:val="0"/>
      </w:pPr>
      <w:r>
        <w:t>五版本各3条独立生命周期，无预热连续出示256次，N=1,2,4,…,256共用同序列前缀。服务摊销为用户/验证者初始化与前N次出示合计除N；排除发行者初始化、签发、导入及网络。三次实际范围不是置信区间；各N不是独立重复，不能以一次交叉判断通用盈亏平衡点。</w:t>
      </w:r>
    </w:p>
    <w:tbl>
      <w:tblPr>
        <w:tblW w:w="3941" w:type="dxa"/>
        <w:jc w:val="center"/>
        <w:tblBorders>
          <w:top w:val="nil"/>
          <w:left w:val="nil"/>
          <w:bottom w:val="nil"/>
          <w:right w:val="nil"/>
          <w:insideH w:val="nil"/>
          <w:insideV w:val="nil"/>
        </w:tblBorders>
        <w:tblLayout w:type="fixed"/>
        <w:tblCellMar>
          <w:top w:w="35" w:type="dxa"/>
          <w:left w:w="30" w:type="dxa"/>
          <w:bottom w:w="35" w:type="dxa"/>
          <w:right w:w="30" w:type="dxa"/>
        </w:tblCellMar>
        <w:tblLook w:val="0000" w:firstRow="0" w:lastRow="0" w:firstColumn="0" w:lastColumn="0" w:noHBand="0" w:noVBand="0"/>
      </w:tblPr>
      <w:tblGrid>
        <w:gridCol w:w="80"/>
        <w:gridCol w:w="3161"/>
        <w:gridCol w:w="700"/>
      </w:tblGrid>
      <w:tr w:rsidR="00223A64" w14:paraId="63B02F8C" w14:textId="77777777">
        <w:trPr>
          <w:cantSplit/>
          <w:jc w:val="center"/>
          <w:cantSplit/>
          <w:tblHeader/>
        </w:trPr>
        <w:tc>
          <w:tcPr>
            <w:tcW w:w="80" w:type="dxa"/>
            <w:tcMar>
              <w:top w:w="0" w:type="dxa"/>
              <w:left w:w="0" w:type="dxa"/>
              <w:bottom w:w="0" w:type="dxa"/>
              <w:right w:w="0" w:type="dxa"/>
            </w:tcMar>
            <w:vAlign w:val="center"/>
          </w:tcPr>
          <w:p w14:paraId="59FE77ED" w14:textId="77777777" w:rsidR="00223A64" w:rsidRDefault="00223A64">
            <w:pPr>
              <w:keepNext w:val="0"/>
              <w:widowControl/>
              <w:snapToGrid w:val="0"/>
              <w:spacing w:line="260" w:lineRule="auto" w:before="0" w:after="0"/>
              <w:jc w:val="center"/>
            </w:pPr>
          </w:p>
        </w:tc>
        <w:tc>
          <w:tcPr>
            <w:tcW w:w="3161" w:type="dxa"/>
            <w:tcMar>
              <w:top w:w="0" w:type="dxa"/>
              <w:left w:w="0" w:type="dxa"/>
              <w:bottom w:w="0" w:type="dxa"/>
              <w:right w:w="0" w:type="dxa"/>
            </w:tcMar>
            <w:vAlign w:val="center"/>
          </w:tcPr>
          <w:p w14:paraId="124B9E42" w14:textId="77777777" w:rsidR="00223A64" w:rsidRDefault="00000000">
            <w:pPr>
              <w:keepNext w:val="0"/>
              <w:widowControl/>
              <w:snapToGrid w:val="0"/>
              <w:spacing w:line="260" w:lineRule="auto" w:before="0" w:after="0"/>
              <w:jc w:val="center"/>
            </w:pPr>
            <m:oMathPara>
              <m:oMath>
                <m:bar>
                  <m:barPr>
                    <m:pos m:val="top"/>
                    <m:ctrlPr>
                      <w:rPr>
                        <w:rFonts w:ascii="Cambria Math" w:hAnsi="Cambria Math" w:eastAsia="Cambria Math" w:cs="Cambria Math"/>
                      </w:rPr>
                    </m:ctrlPr>
                  </m:barPr>
                  <m:e>
                    <m:r>
                      <m:rPr>
                        <m:sty m:val="i"/>
                      </m:rPr>
                      <w:rPr>
                        <w:rFonts w:ascii="Cambria Math" w:eastAsia="Cambria Math" w:hAnsi="Cambria Math" w:cs="Cambria Math"/>
                        <w:sz w:val="20"/>
                        <w:szCs w:val="20"/>
                      </w:rPr>
                      <m:t>C</m:t>
                    </m:r>
                  </m:e>
                </m:bar>
                <m:d>
                  <m:dPr>
                    <m:ctrlPr>
                      <w:rPr>
                        <w:rFonts w:ascii="Cambria Math" w:hAnsi="Cambria Math" w:eastAsia="Cambria Math" w:cs="Cambria Math"/>
                      </w:rPr>
                    </m:ctrlPr>
                  </m:dPr>
                  <m:e>
                    <m:r>
                      <m:rPr>
                        <m:sty m:val="i"/>
                      </m:rPr>
                      <w:rPr>
                        <w:rFonts w:ascii="Cambria Math" w:eastAsia="Cambria Math" w:hAnsi="Cambria Math" w:cs="Cambria Math"/>
                        <w:sz w:val="20"/>
                        <w:szCs w:val="20"/>
                      </w:rPr>
                      <m:t>N</m:t>
                    </m:r>
                  </m:e>
                </m:d>
                <m:r>
                  <m:rPr>
                    <m:sty m:val="p"/>
                  </m:rPr>
                  <w:rPr>
                    <w:rFonts w:ascii="Cambria Math" w:eastAsia="Cambria Math" w:hAnsi="Cambria Math" w:cs="Cambria Math"/>
                    <w:sz w:val="20"/>
                    <w:szCs w:val="20"/>
                  </w:rPr>
                  <m:t>=</m:t>
                </m:r>
                <m:f>
                  <m:fPr>
                    <m:ctrlPr>
                      <w:rPr>
                        <w:rFonts w:ascii="Cambria Math" w:hAnsi="Cambria Math" w:eastAsia="Cambria Math" w:cs="Cambria Math"/>
                      </w:rPr>
                    </m:ctrlPr>
                  </m:fPr>
                  <m:num>
                    <m:eqArr>
                      <m:eqArrPr>
                        <m:rSpRule m:val="3"/>
                        <m:ctrlPr>
                          <w:rPr>
                            <w:rFonts w:ascii="Cambria Math" w:hAnsi="Cambria Math" w:eastAsia="Cambria Math" w:cs="Cambria Math"/>
                          </w:rPr>
                        </m:ctrlPr>
                      </m:eqArrPr>
                      <m:e>
                        <m:sSub>
                          <m:sSubPr>
                            <m:ctrlPr>
                              <w:rPr>
                                <w:rFonts w:ascii="Cambria Math" w:hAnsi="Cambria Math" w:eastAsia="Cambria Math" w:cs="Cambria Math"/>
                              </w:rPr>
                            </m:ctrlPr>
                          </m:sSubPr>
                          <m:e>
                            <m:r>
                              <m:rPr>
                                <m:sty m:val="i"/>
                              </m:rPr>
                              <w:rPr>
                                <w:rFonts w:ascii="Cambria Math" w:eastAsia="Cambria Math" w:hAnsi="Cambria Math" w:cs="Cambria Math"/>
                                <w:sz w:val="20"/>
                                <w:szCs w:val="20"/>
                              </w:rPr>
                              <m:t>T</m:t>
                            </m:r>
                          </m:e>
                          <m:sub>
                            <m:r>
                              <m:rPr>
                                <m:sty m:val="p"/>
                              </m:rPr>
                              <w:rPr>
                                <w:rFonts w:ascii="Cambria Math" w:eastAsia="Cambria Math" w:hAnsi="Cambria Math" w:cs="Cambria Math"/>
                                <w:sz w:val="20"/>
                                <w:szCs w:val="20"/>
                              </w:rPr>
                              <m:t>user init</m:t>
                            </m:r>
                          </m:sub>
                        </m:sSub>
                        <m:r>
                          <m:rPr>
                            <m:sty m:val="p"/>
                          </m:rPr>
                          <w:rPr>
                            <w:rFonts w:ascii="Cambria Math" w:eastAsia="Cambria Math" w:hAnsi="Cambria Math" w:cs="Cambria Math"/>
                            <w:sz w:val="20"/>
                            <w:szCs w:val="20"/>
                          </w:rPr>
                          <m:t>+</m:t>
                        </m:r>
                        <m:sSub>
                          <m:sSubPr>
                            <m:ctrlPr>
                              <w:rPr>
                                <w:rFonts w:ascii="Cambria Math" w:hAnsi="Cambria Math" w:eastAsia="Cambria Math" w:cs="Cambria Math"/>
                              </w:rPr>
                            </m:ctrlPr>
                          </m:sSubPr>
                          <m:e>
                            <m:r>
                              <m:rPr>
                                <m:sty m:val="i"/>
                              </m:rPr>
                              <w:rPr>
                                <w:rFonts w:ascii="Cambria Math" w:eastAsia="Cambria Math" w:hAnsi="Cambria Math" w:cs="Cambria Math"/>
                                <w:sz w:val="20"/>
                                <w:szCs w:val="20"/>
                              </w:rPr>
                              <m:t>T</m:t>
                            </m:r>
                          </m:e>
                          <m:sub>
                            <m:r>
                              <m:rPr>
                                <m:sty m:val="p"/>
                              </m:rPr>
                              <w:rPr>
                                <w:rFonts w:ascii="Cambria Math" w:eastAsia="Cambria Math" w:hAnsi="Cambria Math" w:cs="Cambria Math"/>
                                <w:sz w:val="20"/>
                                <w:szCs w:val="20"/>
                              </w:rPr>
                              <m:t>verifier init</m:t>
                            </m:r>
                          </m:sub>
                        </m:sSub>
                      </m:e>
                      <m:e>
                        <m:r>
                          <m:rPr>
                            <m:sty m:val="p"/>
                          </m:rPr>
                          <w:rPr>
                            <w:rFonts w:ascii="Cambria Math" w:eastAsia="Cambria Math" w:hAnsi="Cambria Math" w:cs="Cambria Math"/>
                            <w:sz w:val="20"/>
                            <w:szCs w:val="20"/>
                          </w:rPr>
                          <m:t>+</m:t>
                        </m:r>
                        <m:nary>
                          <m:naryPr>
                            <m:chr m:val="∑"/>
                            <m:limLoc m:val="undOvr"/>
                            <m:ctrlPr>
                              <w:rPr>
                                <w:rFonts w:ascii="Cambria Math" w:hAnsi="Cambria Math" w:eastAsia="Cambria Math" w:cs="Cambria Math"/>
                              </w:rPr>
                            </m:ctrlPr>
                          </m:naryPr>
                          <m:sub>
                            <m:r>
                              <m:rPr>
                                <m:sty m:val="i"/>
                              </m:rPr>
                              <w:rPr>
                                <w:rFonts w:ascii="Cambria Math" w:eastAsia="Cambria Math" w:hAnsi="Cambria Math" w:cs="Cambria Math"/>
                                <w:sz w:val="20"/>
                                <w:szCs w:val="20"/>
                              </w:rPr>
                              <m:t>i</m:t>
                            </m:r>
                            <m:r>
                              <m:rPr>
                                <m:sty m:val="p"/>
                              </m:rPr>
                              <w:rPr>
                                <w:rFonts w:ascii="Cambria Math" w:eastAsia="Cambria Math" w:hAnsi="Cambria Math" w:cs="Cambria Math"/>
                                <w:sz w:val="20"/>
                                <w:szCs w:val="20"/>
                              </w:rPr>
                              <m:t>=</m:t>
                            </m:r>
                            <m:r>
                              <m:rPr>
                                <m:sty m:val="p"/>
                              </m:rPr>
                              <w:rPr>
                                <w:rFonts w:ascii="Cambria Math" w:eastAsia="Cambria Math" w:hAnsi="Cambria Math" w:cs="Cambria Math"/>
                                <w:sz w:val="20"/>
                                <w:szCs w:val="20"/>
                              </w:rPr>
                              <m:t>1</m:t>
                            </m:r>
                          </m:sub>
                          <m:sup>
                            <m:r>
                              <m:rPr>
                                <m:sty m:val="i"/>
                              </m:rPr>
                              <w:rPr>
                                <w:rFonts w:ascii="Cambria Math" w:eastAsia="Cambria Math" w:hAnsi="Cambria Math" w:cs="Cambria Math"/>
                                <w:sz w:val="20"/>
                                <w:szCs w:val="20"/>
                              </w:rPr>
                              <m:t>N</m:t>
                            </m:r>
                          </m:sup>
                          <m:e>
                            <m:sSub>
                              <m:sSubPr>
                                <m:ctrlPr>
                                  <w:rPr>
                                    <w:rFonts w:ascii="Cambria Math" w:hAnsi="Cambria Math" w:eastAsia="Cambria Math" w:cs="Cambria Math"/>
                                  </w:rPr>
                                </m:ctrlPr>
                              </m:sSubPr>
                              <m:e>
                                <m:r>
                                  <m:rPr>
                                    <m:sty m:val="i"/>
                                  </m:rPr>
                                  <w:rPr>
                                    <w:rFonts w:ascii="Cambria Math" w:eastAsia="Cambria Math" w:hAnsi="Cambria Math" w:cs="Cambria Math"/>
                                    <w:sz w:val="20"/>
                                    <w:szCs w:val="20"/>
                                  </w:rPr>
                                  <m:t>T</m:t>
                                </m:r>
                              </m:e>
                              <m:sub>
                                <m:r>
                                  <m:rPr>
                                    <m:sty m:val="p"/>
                                  </m:rPr>
                                  <w:rPr>
                                    <w:rFonts w:ascii="Cambria Math" w:eastAsia="Cambria Math" w:hAnsi="Cambria Math" w:cs="Cambria Math"/>
                                    <w:sz w:val="20"/>
                                    <w:szCs w:val="20"/>
                                  </w:rPr>
                                  <m:t>show,</m:t>
                                </m:r>
                                <m:r>
                                  <m:rPr>
                                    <m:sty m:val="i"/>
                                  </m:rPr>
                                  <w:rPr>
                                    <w:rFonts w:ascii="Cambria Math" w:eastAsia="Cambria Math" w:hAnsi="Cambria Math" w:cs="Cambria Math"/>
                                    <w:sz w:val="20"/>
                                    <w:szCs w:val="20"/>
                                  </w:rPr>
                                  <m:t>i</m:t>
                                </m:r>
                              </m:sub>
                            </m:sSub>
                          </m:e>
                        </m:nary>
                      </m:e>
                    </m:eqArr>
                  </m:num>
                  <m:den>
                    <m:r>
                      <m:rPr>
                        <m:sty m:val="i"/>
                      </m:rPr>
                      <w:rPr>
                        <w:rFonts w:ascii="Cambria Math" w:eastAsia="Cambria Math" w:hAnsi="Cambria Math" w:cs="Cambria Math"/>
                        <w:sz w:val="20"/>
                        <w:szCs w:val="20"/>
                      </w:rPr>
                      <m:t>N</m:t>
                    </m:r>
                  </m:den>
                </m:f>
              </m:oMath>
            </m:oMathPara>
          </w:p>
        </w:tc>
        <w:tc>
          <w:tcPr>
            <w:tcW w:w="700" w:type="dxa"/>
            <w:noWrap/>
            <w:tcMar>
              <w:top w:w="0" w:type="dxa"/>
              <w:left w:w="0" w:type="dxa"/>
              <w:bottom w:w="0" w:type="dxa"/>
              <w:right w:w="0" w:type="dxa"/>
            </w:tcMar>
            <w:vAlign w:val="center"/>
          </w:tcPr>
          <w:p>
            <w:pPr>
              <w:keepNext w:val="0"/>
              <w:spacing w:before="0" w:after="0"/>
              <w:snapToGrid w:val="0"/>
            </w:pPr>
            <w:r>
              <w:t>（</w:t>
            </w:r>
            <w:bookmarkStart w:id="27" w:name="seqS1"/>
            <w:r>
              <w:t>S1</w:t>
            </w:r>
            <w:bookmarkEnd w:id="27"/>
            <w:r>
              <w:t xml:space="preserve">）</w:t>
            </w:r>
          </w:p>
        </w:tc>
      </w:tr>
    </w:tbl>
    <w:p>
      <w:pPr>
        <w:keepNext/>
        <w:spacing w:after="40" w:before="120" w:line="276" w:lineRule="auto"/>
        <w:widowControl/>
        <w:snapToGrid w:val="0"/>
      </w:pPr>
      <w:r>
        <w:rPr>
          <w:rFonts w:ascii="Times New Roman" w:hAnsi="Times New Roman" w:eastAsia="宋体"/>
          <w:color w:val="000000"/>
        </w:rPr>
        <w:t>表</w:t>
      </w:r>
      <w:bookmarkStart w:id="9" w:name="stblS4"/>
      <w:r>
        <w:rPr>
          <w:rFonts w:ascii="Times New Roman" w:hAnsi="Times New Roman" w:eastAsia="宋体"/>
          <w:color w:val="000000"/>
        </w:rPr>
        <w:t>S4</w:t>
      </w:r>
      <w:bookmarkEnd w:id="9"/>
      <w:r>
        <w:rPr>
          <w:rFonts w:ascii="Times New Roman" w:hAnsi="Times New Roman" w:eastAsia="宋体"/>
          <w:color w:val="000000"/>
        </w:rPr>
        <w:t xml:space="preserve"> 首次成本与服务摊销（三次生命周期）</w:t>
      </w:r>
    </w:p>
    <w:tbl>
      <w:tblPr>
        <w:tblW w:w="8306" w:type="dxa"/>
        <w:jc w:val="center"/>
        <w:tblLayout w:type="fixed"/>
        <w:tblCellMar>
          <w:top w:w="35" w:type="dxa"/>
          <w:left w:w="30" w:type="dxa"/>
          <w:bottom w:w="35" w:type="dxa"/>
          <w:right w:w="30" w:type="dxa"/>
        </w:tblCellMar>
        <w:tblLook w:val="04A0" w:firstRow="1" w:lastRow="0" w:firstColumn="1" w:lastColumn="0" w:noHBand="0" w:noVBand="1"/>
        <w:tblBorders>
          <w:top w:val="single" w:sz="6" w:color="000000"/>
          <w:bottom w:val="single" w:sz="6" w:color="000000"/>
          <w:left w:val="nil" w:sz="6" w:color="000000"/>
          <w:right w:val="nil" w:sz="6" w:color="000000"/>
          <w:insideH w:val="nil" w:sz="6" w:color="000000"/>
          <w:insideV w:val="nil" w:sz="6" w:color="000000"/>
        </w:tblBorders>
      </w:tblPr>
      <w:tblGrid>
        <w:gridCol w:w="1303"/>
        <w:gridCol w:w="1248"/>
        <w:gridCol w:w="1412"/>
        <w:gridCol w:w="1194"/>
        <w:gridCol w:w="1303"/>
        <w:gridCol w:w="1846"/>
      </w:tblGrid>
      <w:tr w:rsidR="00223A64" w14:paraId="2A95D815" w14:textId="77777777">
        <w:trPr>
          <w:cantSplit/>
          <w:tblHeader/>
          <w:jc w:val="center"/>
          <w:cantSplit/>
          <w:tblHeader/>
          <w:tblHeader/>
        </w:trPr>
        <w:tc>
          <w:tcPr>
            <w:tcW w:w="1303"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版本</w:t>
            </w:r>
          </w:p>
        </w:tc>
        <w:tc>
          <w:tcPr>
            <w:tcW w:w="1248"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初始化均值/ms</w:t>
            </w:r>
          </w:p>
        </w:tc>
        <w:tc>
          <w:tcPr>
            <w:tcW w:w="1412"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首次出示均值/ms</w:t>
            </w:r>
          </w:p>
        </w:tc>
        <w:tc>
          <w:tcPr>
            <w:tcW w:w="1194"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r>
            <m:oMath>
              <m:r>
                <m:rPr>
                  <m:sty m:val="i"/>
                </m:rPr>
                <w:rPr>
                  <w:rFonts w:ascii="Cambria Math" w:eastAsia="Cambria Math" w:hAnsi="Cambria Math" w:cs="Cambria Math"/>
                  <w:sz w:val="20"/>
                  <w:szCs w:val="20"/>
                </w:rPr>
                <m:t>N</m:t>
              </m:r>
              <m:r>
                <m:rPr>
                  <m:sty m:val="p"/>
                </m:rPr>
                <w:rPr>
                  <w:rFonts w:ascii="Cambria Math" w:eastAsia="Cambria Math" w:hAnsi="Cambria Math" w:cs="Cambria Math"/>
                  <w:sz w:val="20"/>
                  <w:szCs w:val="20"/>
                </w:rPr>
                <m:t>=</m:t>
              </m:r>
              <m:r>
                <m:rPr>
                  <m:sty m:val="p"/>
                </m:rPr>
                <w:rPr>
                  <w:rFonts w:ascii="Cambria Math" w:eastAsia="Cambria Math" w:hAnsi="Cambria Math" w:cs="Cambria Math"/>
                  <w:sz w:val="20"/>
                  <w:szCs w:val="20"/>
                </w:rPr>
                <m:t>1</m:t>
              </m:r>
              <m:r>
                <m:rPr>
                  <m:sty/>
                </m:rPr>
                <w:br/>
              </m:r>
            </m:oMath>
            <w:r>
              <w:rPr>
                <w:rFonts w:ascii="Times New Roman" w:hAnsi="Times New Roman" w:eastAsia="宋体"/>
                <w:b/>
                <w:color w:val="000000"/>
                <w:sz w:val="18"/>
              </w:rPr>
              <w:t>均值/ms</w:t>
            </w:r>
          </w:p>
        </w:tc>
        <w:tc>
          <w:tcPr>
            <w:tcW w:w="1303"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r>
            <m:oMath>
              <m:r>
                <m:rPr>
                  <m:sty m:val="i"/>
                </m:rPr>
                <w:rPr>
                  <w:rFonts w:ascii="Cambria Math" w:eastAsia="Cambria Math" w:hAnsi="Cambria Math" w:cs="Cambria Math"/>
                  <w:sz w:val="20"/>
                  <w:szCs w:val="20"/>
                </w:rPr>
                <m:t>N</m:t>
              </m:r>
              <m:r>
                <m:rPr>
                  <m:sty m:val="p"/>
                </m:rPr>
                <w:rPr>
                  <w:rFonts w:ascii="Cambria Math" w:eastAsia="Cambria Math" w:hAnsi="Cambria Math" w:cs="Cambria Math"/>
                  <w:sz w:val="20"/>
                  <w:szCs w:val="20"/>
                </w:rPr>
                <m:t>=</m:t>
              </m:r>
              <m:r>
                <m:rPr>
                  <m:sty m:val="p"/>
                </m:rPr>
                <w:rPr>
                  <w:rFonts w:ascii="Cambria Math" w:eastAsia="Cambria Math" w:hAnsi="Cambria Math" w:cs="Cambria Math"/>
                  <w:sz w:val="20"/>
                  <w:szCs w:val="20"/>
                </w:rPr>
                <m:t>256</m:t>
              </m:r>
              <m:r>
                <m:rPr>
                  <m:sty/>
                </m:rPr>
                <w:br/>
              </m:r>
            </m:oMath>
            <w:r>
              <w:rPr>
                <w:rFonts w:ascii="Times New Roman" w:hAnsi="Times New Roman" w:eastAsia="宋体"/>
                <w:b/>
                <w:color w:val="000000"/>
                <w:sz w:val="18"/>
              </w:rPr>
              <w:t>均值/ms</w:t>
            </w:r>
          </w:p>
        </w:tc>
        <w:tc>
          <w:tcPr>
            <w:tcW w:w="1846"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r>
            <m:oMath>
              <m:r>
                <m:rPr>
                  <m:sty m:val="i"/>
                </m:rPr>
                <w:rPr>
                  <w:rFonts w:ascii="Cambria Math" w:eastAsia="Cambria Math" w:hAnsi="Cambria Math" w:cs="Cambria Math"/>
                  <w:sz w:val="20"/>
                  <w:szCs w:val="20"/>
                </w:rPr>
                <m:t>N</m:t>
              </m:r>
              <m:r>
                <m:rPr>
                  <m:sty m:val="p"/>
                </m:rPr>
                <w:rPr>
                  <w:rFonts w:ascii="Cambria Math" w:eastAsia="Cambria Math" w:hAnsi="Cambria Math" w:cs="Cambria Math"/>
                  <w:sz w:val="20"/>
                  <w:szCs w:val="20"/>
                </w:rPr>
                <m:t>=</m:t>
              </m:r>
              <m:r>
                <m:rPr>
                  <m:sty m:val="p"/>
                </m:rPr>
                <w:rPr>
                  <w:rFonts w:ascii="Cambria Math" w:eastAsia="Cambria Math" w:hAnsi="Cambria Math" w:cs="Cambria Math"/>
                  <w:sz w:val="20"/>
                  <w:szCs w:val="20"/>
                </w:rPr>
                <m:t>256</m:t>
              </m:r>
              <m:r>
                <m:rPr>
                  <m:sty/>
                </m:rPr>
                <w:br/>
              </m:r>
            </m:oMath>
            <w:r>
              <w:rPr>
                <w:rFonts w:ascii="Times New Roman" w:hAnsi="Times New Roman" w:eastAsia="宋体"/>
                <w:b/>
                <w:color w:val="000000"/>
                <w:sz w:val="18"/>
              </w:rPr>
              <w:t>范围/ms</w:t>
            </w:r>
          </w:p>
        </w:tc>
      </w:tr>
      <w:tr w:rsidR="00223A64" w14:paraId="1131E588" w14:textId="77777777">
        <w:trPr>
          <w:cantSplit/>
          <w:jc w:val="center"/>
          <w:cantSplit/>
        </w:trPr>
        <w:tc>
          <w:tcPr>
            <w:tcW w:w="1303" w:type="dxa"/>
            <w:vAlign w:val="center"/>
            <w:tcMar>
              <w:top w:w="25" w:type="dxa"/>
              <w:bottom w:w="25" w:type="dxa"/>
              <w:left w:w="25" w:type="dxa"/>
              <w:right w:w="25" w:type="dxa"/>
            </w:tcMar>
          </w:tcPr>
          <w:p w14:paraId="518F70F3"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修正基线</w:t>
            </w:r>
          </w:p>
        </w:tc>
        <w:tc>
          <w:tcPr>
            <w:tcW w:w="1248" w:type="dxa"/>
            <w:vAlign w:val="center"/>
            <w:tcMar>
              <w:top w:w="25" w:type="dxa"/>
              <w:bottom w:w="25" w:type="dxa"/>
              <w:left w:w="25" w:type="dxa"/>
              <w:right w:w="25" w:type="dxa"/>
            </w:tcMar>
          </w:tcPr>
          <w:p w14:paraId="06ECF385"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52.09</w:t>
            </w:r>
          </w:p>
        </w:tc>
        <w:tc>
          <w:tcPr>
            <w:tcW w:w="1412" w:type="dxa"/>
            <w:vAlign w:val="center"/>
            <w:tcMar>
              <w:top w:w="25" w:type="dxa"/>
              <w:bottom w:w="25" w:type="dxa"/>
              <w:left w:w="25" w:type="dxa"/>
              <w:right w:w="25" w:type="dxa"/>
            </w:tcMar>
          </w:tcPr>
          <w:p w14:paraId="4B46F59B"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110.08</w:t>
            </w:r>
          </w:p>
        </w:tc>
        <w:tc>
          <w:tcPr>
            <w:tcW w:w="1194" w:type="dxa"/>
            <w:vAlign w:val="center"/>
            <w:tcMar>
              <w:top w:w="25" w:type="dxa"/>
              <w:bottom w:w="25" w:type="dxa"/>
              <w:left w:w="25" w:type="dxa"/>
              <w:right w:w="25" w:type="dxa"/>
            </w:tcMar>
          </w:tcPr>
          <w:p w14:paraId="7C490F4D"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162.18</w:t>
            </w:r>
          </w:p>
        </w:tc>
        <w:tc>
          <w:tcPr>
            <w:tcW w:w="1303" w:type="dxa"/>
            <w:vAlign w:val="center"/>
            <w:tcMar>
              <w:top w:w="25" w:type="dxa"/>
              <w:bottom w:w="25" w:type="dxa"/>
              <w:left w:w="25" w:type="dxa"/>
              <w:right w:w="25" w:type="dxa"/>
            </w:tcMar>
          </w:tcPr>
          <w:p w14:paraId="19DCEE91"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109.06</w:t>
            </w:r>
          </w:p>
        </w:tc>
        <w:tc>
          <w:tcPr>
            <w:tcW w:w="1846" w:type="dxa"/>
            <w:vAlign w:val="center"/>
            <w:tcMar>
              <w:top w:w="25" w:type="dxa"/>
              <w:bottom w:w="25" w:type="dxa"/>
              <w:left w:w="25" w:type="dxa"/>
              <w:right w:w="25" w:type="dxa"/>
            </w:tcMar>
          </w:tcPr>
          <w:p w14:paraId="4BB8F23D"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105.92</w:t>
            </w:r>
            <w:r>
              <w:rPr>
                <w:rFonts w:ascii="Times New Roman" w:hAnsi="Times New Roman" w:eastAsia="宋体"/>
                <w:b w:val="0"/>
                <w:color w:val="000000"/>
                <w:sz w:val="18"/>
              </w:rPr>
              <w:t>～</w:t>
            </w:r>
            <w:r>
              <w:rPr>
                <w:rFonts w:ascii="Times New Roman" w:hAnsi="Times New Roman" w:eastAsia="宋体"/>
                <w:b w:val="0"/>
                <w:color w:val="000000"/>
                <w:sz w:val="18"/>
              </w:rPr>
              <w:t>111.82</w:t>
            </w:r>
          </w:p>
        </w:tc>
      </w:tr>
      <w:tr w:rsidR="00223A64" w14:paraId="5927BEB9" w14:textId="77777777">
        <w:trPr>
          <w:cantSplit/>
          <w:jc w:val="center"/>
          <w:cantSplit/>
        </w:trPr>
        <w:tc>
          <w:tcPr>
            <w:tcW w:w="1303" w:type="dxa"/>
            <w:vAlign w:val="center"/>
            <w:tcMar>
              <w:top w:w="25" w:type="dxa"/>
              <w:bottom w:w="25" w:type="dxa"/>
              <w:left w:w="25" w:type="dxa"/>
              <w:right w:w="25" w:type="dxa"/>
            </w:tcMar>
          </w:tcPr>
          <w:p w14:paraId="423F3DF1"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复用组合</w:t>
            </w:r>
          </w:p>
        </w:tc>
        <w:tc>
          <w:tcPr>
            <w:tcW w:w="1248" w:type="dxa"/>
            <w:vAlign w:val="center"/>
            <w:tcMar>
              <w:top w:w="25" w:type="dxa"/>
              <w:bottom w:w="25" w:type="dxa"/>
              <w:left w:w="25" w:type="dxa"/>
              <w:right w:w="25" w:type="dxa"/>
            </w:tcMar>
          </w:tcPr>
          <w:p w14:paraId="0F380E7C"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53.04</w:t>
            </w:r>
          </w:p>
        </w:tc>
        <w:tc>
          <w:tcPr>
            <w:tcW w:w="1412" w:type="dxa"/>
            <w:vAlign w:val="center"/>
            <w:tcMar>
              <w:top w:w="25" w:type="dxa"/>
              <w:bottom w:w="25" w:type="dxa"/>
              <w:left w:w="25" w:type="dxa"/>
              <w:right w:w="25" w:type="dxa"/>
            </w:tcMar>
          </w:tcPr>
          <w:p w14:paraId="74906CE8"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84.72</w:t>
            </w:r>
          </w:p>
        </w:tc>
        <w:tc>
          <w:tcPr>
            <w:tcW w:w="1194" w:type="dxa"/>
            <w:vAlign w:val="center"/>
            <w:tcMar>
              <w:top w:w="25" w:type="dxa"/>
              <w:bottom w:w="25" w:type="dxa"/>
              <w:left w:w="25" w:type="dxa"/>
              <w:right w:w="25" w:type="dxa"/>
            </w:tcMar>
          </w:tcPr>
          <w:p w14:paraId="63AEF385"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137.76</w:t>
            </w:r>
          </w:p>
        </w:tc>
        <w:tc>
          <w:tcPr>
            <w:tcW w:w="1303" w:type="dxa"/>
            <w:vAlign w:val="center"/>
            <w:tcMar>
              <w:top w:w="25" w:type="dxa"/>
              <w:bottom w:w="25" w:type="dxa"/>
              <w:left w:w="25" w:type="dxa"/>
              <w:right w:w="25" w:type="dxa"/>
            </w:tcMar>
          </w:tcPr>
          <w:p w14:paraId="49C11D3E"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84.50</w:t>
            </w:r>
          </w:p>
        </w:tc>
        <w:tc>
          <w:tcPr>
            <w:tcW w:w="1846" w:type="dxa"/>
            <w:vAlign w:val="center"/>
            <w:tcMar>
              <w:top w:w="25" w:type="dxa"/>
              <w:bottom w:w="25" w:type="dxa"/>
              <w:left w:w="25" w:type="dxa"/>
              <w:right w:w="25" w:type="dxa"/>
            </w:tcMar>
          </w:tcPr>
          <w:p w14:paraId="108BAAE5"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83.74</w:t>
            </w:r>
            <w:r>
              <w:rPr>
                <w:rFonts w:ascii="Times New Roman" w:hAnsi="Times New Roman" w:eastAsia="宋体"/>
                <w:b w:val="0"/>
                <w:color w:val="000000"/>
                <w:sz w:val="18"/>
              </w:rPr>
              <w:t>～</w:t>
            </w:r>
            <w:r>
              <w:rPr>
                <w:rFonts w:ascii="Times New Roman" w:hAnsi="Times New Roman" w:eastAsia="宋体"/>
                <w:b w:val="0"/>
                <w:color w:val="000000"/>
                <w:sz w:val="18"/>
              </w:rPr>
              <w:t>85.02</w:t>
            </w:r>
          </w:p>
        </w:tc>
      </w:tr>
      <w:tr w:rsidR="00223A64" w14:paraId="1484A496" w14:textId="77777777">
        <w:trPr>
          <w:cantSplit/>
          <w:jc w:val="center"/>
          <w:cantSplit/>
        </w:trPr>
        <w:tc>
          <w:tcPr>
            <w:tcW w:w="1303" w:type="dxa"/>
            <w:vAlign w:val="center"/>
            <w:tcMar>
              <w:top w:w="25" w:type="dxa"/>
              <w:bottom w:w="25" w:type="dxa"/>
              <w:left w:w="25" w:type="dxa"/>
              <w:right w:w="25" w:type="dxa"/>
            </w:tcMar>
          </w:tcPr>
          <w:p w14:paraId="64CCAD80"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双层复用</w:t>
            </w:r>
          </w:p>
        </w:tc>
        <w:tc>
          <w:tcPr>
            <w:tcW w:w="1248" w:type="dxa"/>
            <w:vAlign w:val="center"/>
            <w:tcMar>
              <w:top w:w="25" w:type="dxa"/>
              <w:bottom w:w="25" w:type="dxa"/>
              <w:left w:w="25" w:type="dxa"/>
              <w:right w:w="25" w:type="dxa"/>
            </w:tcMar>
          </w:tcPr>
          <w:p w14:paraId="1B28EFBA"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54.05</w:t>
            </w:r>
          </w:p>
        </w:tc>
        <w:tc>
          <w:tcPr>
            <w:tcW w:w="1412" w:type="dxa"/>
            <w:vAlign w:val="center"/>
            <w:tcMar>
              <w:top w:w="25" w:type="dxa"/>
              <w:bottom w:w="25" w:type="dxa"/>
              <w:left w:w="25" w:type="dxa"/>
              <w:right w:w="25" w:type="dxa"/>
            </w:tcMar>
          </w:tcPr>
          <w:p w14:paraId="0C817F73"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103.24</w:t>
            </w:r>
          </w:p>
        </w:tc>
        <w:tc>
          <w:tcPr>
            <w:tcW w:w="1194" w:type="dxa"/>
            <w:vAlign w:val="center"/>
            <w:tcMar>
              <w:top w:w="25" w:type="dxa"/>
              <w:bottom w:w="25" w:type="dxa"/>
              <w:left w:w="25" w:type="dxa"/>
              <w:right w:w="25" w:type="dxa"/>
            </w:tcMar>
          </w:tcPr>
          <w:p w14:paraId="5F032030"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157.29</w:t>
            </w:r>
          </w:p>
        </w:tc>
        <w:tc>
          <w:tcPr>
            <w:tcW w:w="1303" w:type="dxa"/>
            <w:vAlign w:val="center"/>
            <w:tcMar>
              <w:top w:w="25" w:type="dxa"/>
              <w:bottom w:w="25" w:type="dxa"/>
              <w:left w:w="25" w:type="dxa"/>
              <w:right w:w="25" w:type="dxa"/>
            </w:tcMar>
          </w:tcPr>
          <w:p w14:paraId="15F6C13C"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78.08</w:t>
            </w:r>
          </w:p>
        </w:tc>
        <w:tc>
          <w:tcPr>
            <w:tcW w:w="1846" w:type="dxa"/>
            <w:vAlign w:val="center"/>
            <w:tcMar>
              <w:top w:w="25" w:type="dxa"/>
              <w:bottom w:w="25" w:type="dxa"/>
              <w:left w:w="25" w:type="dxa"/>
              <w:right w:w="25" w:type="dxa"/>
            </w:tcMar>
          </w:tcPr>
          <w:p w14:paraId="365FCE93"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75.82</w:t>
            </w:r>
            <w:r>
              <w:rPr>
                <w:rFonts w:ascii="Times New Roman" w:hAnsi="Times New Roman" w:eastAsia="宋体"/>
                <w:b w:val="0"/>
                <w:color w:val="000000"/>
                <w:sz w:val="18"/>
              </w:rPr>
              <w:t>～</w:t>
            </w:r>
            <w:r>
              <w:rPr>
                <w:rFonts w:ascii="Times New Roman" w:hAnsi="Times New Roman" w:eastAsia="宋体"/>
                <w:b w:val="0"/>
                <w:color w:val="000000"/>
                <w:sz w:val="18"/>
              </w:rPr>
              <w:t>81.40</w:t>
            </w:r>
          </w:p>
        </w:tc>
      </w:tr>
      <w:tr w:rsidR="00223A64" w14:paraId="082025A5" w14:textId="77777777">
        <w:trPr>
          <w:cantSplit/>
          <w:jc w:val="center"/>
          <w:cantSplit/>
        </w:trPr>
        <w:tc>
          <w:tcPr>
            <w:tcW w:w="1303" w:type="dxa"/>
            <w:vAlign w:val="center"/>
            <w:tcMar>
              <w:top w:w="25" w:type="dxa"/>
              <w:bottom w:w="25" w:type="dxa"/>
              <w:left w:w="25" w:type="dxa"/>
              <w:right w:w="25" w:type="dxa"/>
            </w:tcMar>
          </w:tcPr>
          <w:p w14:paraId="3FAAD766"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填充优化</w:t>
            </w:r>
          </w:p>
        </w:tc>
        <w:tc>
          <w:tcPr>
            <w:tcW w:w="1248" w:type="dxa"/>
            <w:vAlign w:val="center"/>
            <w:tcMar>
              <w:top w:w="25" w:type="dxa"/>
              <w:bottom w:w="25" w:type="dxa"/>
              <w:left w:w="25" w:type="dxa"/>
              <w:right w:w="25" w:type="dxa"/>
            </w:tcMar>
          </w:tcPr>
          <w:p w14:paraId="181633C8"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53.83</w:t>
            </w:r>
          </w:p>
        </w:tc>
        <w:tc>
          <w:tcPr>
            <w:tcW w:w="1412" w:type="dxa"/>
            <w:vAlign w:val="center"/>
            <w:tcMar>
              <w:top w:w="25" w:type="dxa"/>
              <w:bottom w:w="25" w:type="dxa"/>
              <w:left w:w="25" w:type="dxa"/>
              <w:right w:w="25" w:type="dxa"/>
            </w:tcMar>
          </w:tcPr>
          <w:p w14:paraId="26CD3D53"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89.20</w:t>
            </w:r>
          </w:p>
        </w:tc>
        <w:tc>
          <w:tcPr>
            <w:tcW w:w="1194" w:type="dxa"/>
            <w:vAlign w:val="center"/>
            <w:tcMar>
              <w:top w:w="25" w:type="dxa"/>
              <w:bottom w:w="25" w:type="dxa"/>
              <w:left w:w="25" w:type="dxa"/>
              <w:right w:w="25" w:type="dxa"/>
            </w:tcMar>
          </w:tcPr>
          <w:p w14:paraId="2AB65F70"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143.03</w:t>
            </w:r>
          </w:p>
        </w:tc>
        <w:tc>
          <w:tcPr>
            <w:tcW w:w="1303" w:type="dxa"/>
            <w:vAlign w:val="center"/>
            <w:tcMar>
              <w:top w:w="25" w:type="dxa"/>
              <w:bottom w:w="25" w:type="dxa"/>
              <w:left w:w="25" w:type="dxa"/>
              <w:right w:w="25" w:type="dxa"/>
            </w:tcMar>
          </w:tcPr>
          <w:p w14:paraId="31780DB3"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71.59</w:t>
            </w:r>
          </w:p>
        </w:tc>
        <w:tc>
          <w:tcPr>
            <w:tcW w:w="1846" w:type="dxa"/>
            <w:vAlign w:val="center"/>
            <w:tcMar>
              <w:top w:w="25" w:type="dxa"/>
              <w:bottom w:w="25" w:type="dxa"/>
              <w:left w:w="25" w:type="dxa"/>
              <w:right w:w="25" w:type="dxa"/>
            </w:tcMar>
          </w:tcPr>
          <w:p w14:paraId="65B266D7"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70.50</w:t>
            </w:r>
            <w:r>
              <w:rPr>
                <w:rFonts w:ascii="Times New Roman" w:hAnsi="Times New Roman" w:eastAsia="宋体"/>
                <w:b w:val="0"/>
                <w:color w:val="000000"/>
                <w:sz w:val="18"/>
              </w:rPr>
              <w:t>～</w:t>
            </w:r>
            <w:r>
              <w:rPr>
                <w:rFonts w:ascii="Times New Roman" w:hAnsi="Times New Roman" w:eastAsia="宋体"/>
                <w:b w:val="0"/>
                <w:color w:val="000000"/>
                <w:sz w:val="18"/>
              </w:rPr>
              <w:t>73.08</w:t>
            </w:r>
          </w:p>
        </w:tc>
      </w:tr>
      <w:tr w:rsidR="00223A64" w14:paraId="7215D069" w14:textId="77777777">
        <w:trPr>
          <w:cantSplit/>
          <w:jc w:val="center"/>
          <w:cantSplit/>
        </w:trPr>
        <w:tc>
          <w:tcPr>
            <w:tcW w:w="1303" w:type="dxa"/>
            <w:tcBorders>
              <w:bottom w:val="single" w:sz="8" w:space="0" w:color="000000"/>
            </w:tcBorders>
            <w:vAlign w:val="center"/>
            <w:tcMar>
              <w:top w:w="25" w:type="dxa"/>
              <w:bottom w:w="25" w:type="dxa"/>
              <w:left w:w="25" w:type="dxa"/>
              <w:right w:w="25" w:type="dxa"/>
            </w:tcMar>
          </w:tcPr>
          <w:p w14:paraId="5450CEC2"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紧致优化</w:t>
            </w:r>
          </w:p>
        </w:tc>
        <w:tc>
          <w:tcPr>
            <w:tcW w:w="1248" w:type="dxa"/>
            <w:tcBorders>
              <w:bottom w:val="single" w:sz="8" w:space="0" w:color="000000"/>
            </w:tcBorders>
            <w:vAlign w:val="center"/>
            <w:tcMar>
              <w:top w:w="25" w:type="dxa"/>
              <w:bottom w:w="25" w:type="dxa"/>
              <w:left w:w="25" w:type="dxa"/>
              <w:right w:w="25" w:type="dxa"/>
            </w:tcMar>
          </w:tcPr>
          <w:p w14:paraId="3B18BB93"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52.63</w:t>
            </w:r>
          </w:p>
        </w:tc>
        <w:tc>
          <w:tcPr>
            <w:tcW w:w="1412" w:type="dxa"/>
            <w:tcBorders>
              <w:bottom w:val="single" w:sz="8" w:space="0" w:color="000000"/>
            </w:tcBorders>
            <w:vAlign w:val="center"/>
            <w:tcMar>
              <w:top w:w="25" w:type="dxa"/>
              <w:bottom w:w="25" w:type="dxa"/>
              <w:left w:w="25" w:type="dxa"/>
              <w:right w:w="25" w:type="dxa"/>
            </w:tcMar>
          </w:tcPr>
          <w:p w14:paraId="3EE0BABD"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72.63</w:t>
            </w:r>
          </w:p>
        </w:tc>
        <w:tc>
          <w:tcPr>
            <w:tcW w:w="1194" w:type="dxa"/>
            <w:tcBorders>
              <w:bottom w:val="single" w:sz="8" w:space="0" w:color="000000"/>
            </w:tcBorders>
            <w:vAlign w:val="center"/>
            <w:tcMar>
              <w:top w:w="25" w:type="dxa"/>
              <w:bottom w:w="25" w:type="dxa"/>
              <w:left w:w="25" w:type="dxa"/>
              <w:right w:w="25" w:type="dxa"/>
            </w:tcMar>
          </w:tcPr>
          <w:p w14:paraId="4E68B150"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125.26</w:t>
            </w:r>
          </w:p>
        </w:tc>
        <w:tc>
          <w:tcPr>
            <w:tcW w:w="1303" w:type="dxa"/>
            <w:tcBorders>
              <w:bottom w:val="single" w:sz="8" w:space="0" w:color="000000"/>
            </w:tcBorders>
            <w:vAlign w:val="center"/>
            <w:tcMar>
              <w:top w:w="25" w:type="dxa"/>
              <w:bottom w:w="25" w:type="dxa"/>
              <w:left w:w="25" w:type="dxa"/>
              <w:right w:w="25" w:type="dxa"/>
            </w:tcMar>
          </w:tcPr>
          <w:p w14:paraId="21671CEF"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66.26</w:t>
            </w:r>
          </w:p>
        </w:tc>
        <w:tc>
          <w:tcPr>
            <w:tcW w:w="1846" w:type="dxa"/>
            <w:tcBorders>
              <w:bottom w:val="single" w:sz="8" w:space="0" w:color="000000"/>
            </w:tcBorders>
            <w:vAlign w:val="center"/>
            <w:tcMar>
              <w:top w:w="25" w:type="dxa"/>
              <w:bottom w:w="25" w:type="dxa"/>
              <w:left w:w="25" w:type="dxa"/>
              <w:right w:w="25" w:type="dxa"/>
            </w:tcMar>
          </w:tcPr>
          <w:p w14:paraId="0BCDD29F"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64.31</w:t>
            </w:r>
            <w:r>
              <w:rPr>
                <w:rFonts w:ascii="Times New Roman" w:hAnsi="Times New Roman" w:eastAsia="宋体"/>
                <w:b w:val="0"/>
                <w:color w:val="000000"/>
                <w:sz w:val="18"/>
              </w:rPr>
              <w:t>～</w:t>
            </w:r>
            <w:r>
              <w:rPr>
                <w:rFonts w:ascii="Times New Roman" w:hAnsi="Times New Roman" w:eastAsia="宋体"/>
                <w:b w:val="0"/>
                <w:color w:val="000000"/>
                <w:sz w:val="18"/>
              </w:rPr>
              <w:t>67.54</w:t>
            </w:r>
          </w:p>
        </w:tc>
      </w:tr>
    </w:tbl>
    <w:p>
      <w:pPr>
        <w:keepNext/>
        <w:jc w:val="center"/>
        <w:keepLines/>
        <w:snapToGrid w:val="0"/>
      </w:pPr>
      <w:r>
        <w:drawing>
          <wp:inline xmlns:a="http://schemas.openxmlformats.org/drawingml/2006/main" xmlns:pic="http://schemas.openxmlformats.org/drawingml/2006/picture">
            <wp:extent cx="4536000" cy="2436278"/>
            <wp:docPr id="3" name="Picture 3" descr="图S3_完整服务摊销大图：内嵌SVG矢量；PNG兼容预览。"/>
            <wp:cNvGraphicFramePr>
              <a:graphicFrameLocks noChangeAspect="1"/>
            </wp:cNvGraphicFramePr>
            <a:graphic>
              <a:graphicData uri="http://schemas.openxmlformats.org/drawingml/2006/picture">
                <pic:pic>
                  <pic:nvPicPr>
                    <pic:cNvPr id="0" name="image.png"/>
                    <pic:cNvPicPr/>
                  </pic:nvPicPr>
                  <pic:blipFill>
                    <a:blip r:embed="rId9">
                      <a:extLst>
                        <a:ext uri="{96DAC541-7B7A-43D3-8B79-37D633B846F1}">
                          <asvg:svgBlip xmlns:asvg="http://schemas.microsoft.com/office/drawing/2016/SVG/main" r:embed="rId6"/>
                        </a:ext>
                      </a:extLst>
                    </a:blip>
                    <a:stretch>
                      <a:fillRect/>
                    </a:stretch>
                  </pic:blipFill>
                  <pic:spPr>
                    <a:xfrm>
                      <a:off x="0" y="0"/>
                      <a:ext cx="4536000" cy="2436278"/>
                    </a:xfrm>
                    <a:prstGeom prst="rect"/>
                  </pic:spPr>
                </pic:pic>
              </a:graphicData>
            </a:graphic>
          </wp:inline>
        </w:drawing>
      </w:r>
    </w:p>
    <w:p>
      <w:pPr>
        <w:keepLines/>
        <w:widowControl/>
        <w:snapToGrid w:val="0"/>
        <w:spacing w:line="276" w:lineRule="auto"/>
      </w:pPr>
      <w:r>
        <w:t>图</w:t>
      </w:r>
      <w:bookmarkStart w:id="10" w:name="sfigS3"/>
      <w:r>
        <w:t>S3</w:t>
      </w:r>
      <w:bookmarkEnd w:id="10"/>
      <w:r>
        <w:t xml:space="preserve"> 正文图4的大尺寸对照。含用户/验证者初始化，点为三次均值，范围为实际最小/最大值；各N共用序列前缀，不是独立重复。</w:t>
      </w:r>
    </w:p>
    <w:p>
      <w:pPr>
        <w:keepNext/>
        <w:spacing w:after="40" w:before="120" w:line="276" w:lineRule="auto"/>
        <w:widowControl/>
        <w:snapToGrid w:val="0"/>
      </w:pPr>
      <w:r>
        <w:rPr>
          <w:rFonts w:ascii="Times New Roman" w:hAnsi="Times New Roman" w:eastAsia="宋体"/>
          <w:color w:val="000000"/>
        </w:rPr>
        <w:t>表</w:t>
      </w:r>
      <w:bookmarkStart w:id="11" w:name="stblS5"/>
      <w:r>
        <w:rPr>
          <w:rFonts w:ascii="Times New Roman" w:hAnsi="Times New Roman" w:eastAsia="宋体"/>
          <w:color w:val="000000"/>
        </w:rPr>
        <w:t>S5</w:t>
      </w:r>
      <w:bookmarkEnd w:id="11"/>
      <w:r>
        <w:rPr>
          <w:rFonts w:ascii="Times New Roman" w:hAnsi="Times New Roman" w:eastAsia="宋体"/>
          <w:color w:val="000000"/>
        </w:rPr>
        <w:t xml:space="preserve"> 策略变化结果（严格验证，每组100次）</w:t>
      </w:r>
    </w:p>
    <w:tbl>
      <w:tblPr>
        <w:jc w:val="center"/>
        <w:tblLayout w:type="fixed"/>
        <w:tblLook w:firstColumn="1" w:firstRow="1" w:lastColumn="0" w:lastRow="0" w:noHBand="0" w:noVBand="1" w:val="04A0"/>
        <w:tblW w:type="dxa" w:w="8306"/>
        <w:tblBorders>
          <w:top w:val="single" w:sz="6" w:color="000000"/>
          <w:bottom w:val="single" w:sz="6" w:color="000000"/>
          <w:left w:val="nil" w:sz="6" w:color="000000"/>
          <w:right w:val="nil" w:sz="6" w:color="000000"/>
          <w:insideH w:val="nil" w:sz="6" w:color="000000"/>
          <w:insideV w:val="nil" w:sz="6" w:color="000000"/>
        </w:tblBorders>
      </w:tblPr>
      <w:tblGrid>
        <w:gridCol w:w="1100"/>
        <w:gridCol w:w="1200"/>
        <w:gridCol w:w="1800"/>
        <w:gridCol w:w="1100"/>
        <w:gridCol w:w="1500"/>
        <w:gridCol w:w="1606"/>
      </w:tblGrid>
      <w:tr>
        <w:trPr>
          <w:cantSplit/>
          <w:tblHeader/>
          <w:tblHeader/>
          <w:cantSplit/>
          <w:tblHeader/>
          <w:cantSplit/>
          <w:tblHeader/>
          <w:tblHeader/>
        </w:trPr>
        <w:tc>
          <w:tcPr>
            <w:tcW w:type="dxa" w:w="1100"/>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版本</w:t>
            </w:r>
          </w:p>
        </w:tc>
        <w:tc>
          <w:tcPr>
            <w:tcW w:type="dxa" w:w="1200"/>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策略</w:t>
            </w:r>
          </w:p>
        </w:tc>
        <w:tc>
          <w:tcPr>
            <w:tcW w:type="dxa" w:w="1800"/>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出示均值/ms</w:t>
            </w:r>
          </w:p>
        </w:tc>
        <w:tc>
          <w:tcPr>
            <w:tcW w:type="dxa" w:w="1100"/>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r>
            <w:r>
              <w:rPr>
                <w:rFonts w:ascii="Times New Roman" w:hAnsi="Times New Roman" w:eastAsia="宋体"/>
                <w:b/>
                <w:color w:val="000000"/>
                <w:sz w:val="18"/>
              </w:rPr>
              <w:t>尝试数</w:t>
            </w:r>
            <m:oMath>
              <m:r>
                <m:rPr>
                  <m:sty m:val="i"/>
                </m:rPr>
                <w:rPr>
                  <w:rFonts w:ascii="Cambria Math" w:hAnsi="Cambria Math" w:eastAsia="Cambria Math" w:cs="Cambria Math"/>
                  <w:sz w:val="20"/>
                </w:rPr>
                <m:t>K</m:t>
              </m:r>
            </m:oMath>
            <w:r>
              <w:rPr>
                <w:rFonts w:ascii="Times New Roman" w:hAnsi="Times New Roman" w:eastAsia="宋体"/>
                <w:b/>
                <w:color w:val="000000"/>
                <w:sz w:val="18"/>
              </w:rPr>
              <w:t>/次</w:t>
            </w:r>
          </w:p>
        </w:tc>
        <w:tc>
          <w:tcPr>
            <w:tcW w:type="dxa" w:w="1500"/>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命中事件/次</w:t>
            </w:r>
          </w:p>
        </w:tc>
        <w:tc>
          <w:tcPr>
            <w:tcW w:type="dxa" w:w="1606"/>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重建事件/次</w:t>
            </w:r>
          </w:p>
        </w:tc>
      </w:tr>
      <w:tr>
        <w:trPr>
          <w:cantSplit/>
          <w:cantSplit/>
          <w:cantSplit/>
        </w:trPr>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双层复用</w:t>
            </w:r>
          </w:p>
        </w:tc>
        <w:tc>
          <w:tcPr>
            <w:tcW w:type="dxa" w:w="12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固定</w:t>
            </w:r>
          </w:p>
        </w:tc>
        <w:tc>
          <w:tcPr>
            <w:tcW w:type="dxa" w:w="18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75.14</w:t>
            </w:r>
          </w:p>
        </w:tc>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5.90</w:t>
            </w:r>
          </w:p>
        </w:tc>
        <w:tc>
          <w:tcPr>
            <w:tcW w:type="dxa" w:w="15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400</w:t>
            </w:r>
          </w:p>
        </w:tc>
        <w:tc>
          <w:tcPr>
            <w:tcW w:type="dxa" w:w="1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0</w:t>
            </w:r>
          </w:p>
        </w:tc>
      </w:tr>
      <w:tr>
        <w:trPr>
          <w:cantSplit/>
          <w:cantSplit/>
          <w:cantSplit/>
        </w:trPr>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双层复用</w:t>
            </w:r>
          </w:p>
        </w:tc>
        <w:tc>
          <w:tcPr>
            <w:tcW w:type="dxa" w:w="12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交替</w:t>
            </w:r>
          </w:p>
        </w:tc>
        <w:tc>
          <w:tcPr>
            <w:tcW w:type="dxa" w:w="18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87.79</w:t>
            </w:r>
          </w:p>
        </w:tc>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6.34</w:t>
            </w:r>
          </w:p>
        </w:tc>
        <w:tc>
          <w:tcPr>
            <w:tcW w:type="dxa" w:w="15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400</w:t>
            </w:r>
          </w:p>
        </w:tc>
        <w:tc>
          <w:tcPr>
            <w:tcW w:type="dxa" w:w="1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200</w:t>
            </w:r>
          </w:p>
        </w:tc>
      </w:tr>
      <w:tr>
        <w:trPr>
          <w:cantSplit/>
          <w:cantSplit/>
          <w:cantSplit/>
        </w:trPr>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双层复用</w:t>
            </w:r>
          </w:p>
        </w:tc>
        <w:tc>
          <w:tcPr>
            <w:tcW w:type="dxa" w:w="12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随机</w:t>
            </w:r>
          </w:p>
        </w:tc>
        <w:tc>
          <w:tcPr>
            <w:tcW w:type="dxa" w:w="18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84.97</w:t>
            </w:r>
          </w:p>
        </w:tc>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5.80</w:t>
            </w:r>
          </w:p>
        </w:tc>
        <w:tc>
          <w:tcPr>
            <w:tcW w:type="dxa" w:w="15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400</w:t>
            </w:r>
          </w:p>
        </w:tc>
        <w:tc>
          <w:tcPr>
            <w:tcW w:type="dxa" w:w="1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198</w:t>
            </w:r>
          </w:p>
        </w:tc>
      </w:tr>
      <w:tr>
        <w:trPr>
          <w:cantSplit/>
          <w:cantSplit/>
          <w:cantSplit/>
        </w:trPr>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填充优化</w:t>
            </w:r>
          </w:p>
        </w:tc>
        <w:tc>
          <w:tcPr>
            <w:tcW w:type="dxa" w:w="12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固定</w:t>
            </w:r>
          </w:p>
        </w:tc>
        <w:tc>
          <w:tcPr>
            <w:tcW w:type="dxa" w:w="18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69.76</w:t>
            </w:r>
          </w:p>
        </w:tc>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6.16</w:t>
            </w:r>
          </w:p>
        </w:tc>
        <w:tc>
          <w:tcPr>
            <w:tcW w:type="dxa" w:w="15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400</w:t>
            </w:r>
          </w:p>
        </w:tc>
        <w:tc>
          <w:tcPr>
            <w:tcW w:type="dxa" w:w="1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0</w:t>
            </w:r>
          </w:p>
        </w:tc>
      </w:tr>
      <w:tr>
        <w:trPr>
          <w:cantSplit/>
          <w:cantSplit/>
          <w:cantSplit/>
        </w:trPr>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填充优化</w:t>
            </w:r>
          </w:p>
        </w:tc>
        <w:tc>
          <w:tcPr>
            <w:tcW w:type="dxa" w:w="12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交替</w:t>
            </w:r>
          </w:p>
        </w:tc>
        <w:tc>
          <w:tcPr>
            <w:tcW w:type="dxa" w:w="18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74.80</w:t>
            </w:r>
          </w:p>
        </w:tc>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4.98</w:t>
            </w:r>
          </w:p>
        </w:tc>
        <w:tc>
          <w:tcPr>
            <w:tcW w:type="dxa" w:w="15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400</w:t>
            </w:r>
          </w:p>
        </w:tc>
        <w:tc>
          <w:tcPr>
            <w:tcW w:type="dxa" w:w="1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200</w:t>
            </w:r>
          </w:p>
        </w:tc>
      </w:tr>
      <w:tr>
        <w:trPr>
          <w:cantSplit/>
          <w:cantSplit/>
          <w:cantSplit/>
        </w:trPr>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填充优化</w:t>
            </w:r>
          </w:p>
        </w:tc>
        <w:tc>
          <w:tcPr>
            <w:tcW w:type="dxa" w:w="12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随机</w:t>
            </w:r>
          </w:p>
        </w:tc>
        <w:tc>
          <w:tcPr>
            <w:tcW w:type="dxa" w:w="18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82.07</w:t>
            </w:r>
          </w:p>
        </w:tc>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6.68</w:t>
            </w:r>
          </w:p>
        </w:tc>
        <w:tc>
          <w:tcPr>
            <w:tcW w:type="dxa" w:w="15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400</w:t>
            </w:r>
          </w:p>
        </w:tc>
        <w:tc>
          <w:tcPr>
            <w:tcW w:type="dxa" w:w="1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198</w:t>
            </w:r>
          </w:p>
        </w:tc>
      </w:tr>
      <w:tr>
        <w:trPr>
          <w:cantSplit/>
          <w:cantSplit/>
          <w:cantSplit/>
        </w:trPr>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紧致优化</w:t>
            </w:r>
          </w:p>
        </w:tc>
        <w:tc>
          <w:tcPr>
            <w:tcW w:type="dxa" w:w="12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固定</w:t>
            </w:r>
          </w:p>
        </w:tc>
        <w:tc>
          <w:tcPr>
            <w:tcW w:type="dxa" w:w="18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67.84</w:t>
            </w:r>
          </w:p>
        </w:tc>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6.34</w:t>
            </w:r>
          </w:p>
        </w:tc>
        <w:tc>
          <w:tcPr>
            <w:tcW w:type="dxa" w:w="15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400</w:t>
            </w:r>
          </w:p>
        </w:tc>
        <w:tc>
          <w:tcPr>
            <w:tcW w:type="dxa" w:w="1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0</w:t>
            </w:r>
          </w:p>
        </w:tc>
      </w:tr>
      <w:tr>
        <w:trPr>
          <w:cantSplit/>
          <w:cantSplit/>
          <w:cantSplit/>
        </w:trPr>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紧致优化</w:t>
            </w:r>
          </w:p>
        </w:tc>
        <w:tc>
          <w:tcPr>
            <w:tcW w:type="dxa" w:w="12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交替</w:t>
            </w:r>
          </w:p>
        </w:tc>
        <w:tc>
          <w:tcPr>
            <w:tcW w:type="dxa" w:w="18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74.76</w:t>
            </w:r>
          </w:p>
        </w:tc>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5.88</w:t>
            </w:r>
          </w:p>
        </w:tc>
        <w:tc>
          <w:tcPr>
            <w:tcW w:type="dxa" w:w="15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400</w:t>
            </w:r>
          </w:p>
        </w:tc>
        <w:tc>
          <w:tcPr>
            <w:tcW w:type="dxa" w:w="1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200</w:t>
            </w:r>
          </w:p>
        </w:tc>
      </w:tr>
      <w:tr>
        <w:trPr>
          <w:cantSplit/>
          <w:cantSplit/>
          <w:cantSplit/>
        </w:trPr>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紧致优化</w:t>
            </w:r>
          </w:p>
        </w:tc>
        <w:tc>
          <w:tcPr>
            <w:tcW w:type="dxa" w:w="12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 xml:space="preserve">随机</w:t>
            </w:r>
          </w:p>
        </w:tc>
        <w:tc>
          <w:tcPr>
            <w:tcW w:type="dxa" w:w="18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73.96</w:t>
            </w:r>
          </w:p>
        </w:tc>
        <w:tc>
          <w:tcPr>
            <w:tcW w:type="dxa" w:w="11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5.58</w:t>
            </w:r>
          </w:p>
        </w:tc>
        <w:tc>
          <w:tcPr>
            <w:tcW w:type="dxa" w:w="15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400</w:t>
            </w:r>
          </w:p>
        </w:tc>
        <w:tc>
          <w:tcPr>
            <w:tcW w:type="dxa" w:w="1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198</w:t>
            </w:r>
          </w:p>
        </w:tc>
      </w:tr>
    </w:tbl>
    <w:p>
      <w:pPr>
        <w:spacing w:after="40" w:before="0" w:line="276" w:lineRule="auto"/>
        <w:widowControl/>
        <w:snapToGrid w:val="0"/>
      </w:pPr>
      <w:r>
        <w:t>先预热2次，共用种子1729的合法集合计划。固定策略重建0，交替/随机200/198为两端累计事件；400命中含调用内部重复查找，非会话命中率。单条非交错序列只作机制解释。</w:t>
      </w:r>
    </w:p>
    <w:p>
      <w:pPr>
        <w:keepNext/>
        <w:spacing w:after="40" w:before="120" w:line="276" w:lineRule="auto"/>
        <w:widowControl/>
        <w:snapToGrid w:val="0"/>
      </w:pPr>
      <w:r>
        <w:rPr>
          <w:rFonts w:ascii="Times New Roman" w:hAnsi="Times New Roman" w:eastAsia="宋体"/>
          <w:color w:val="000000"/>
        </w:rPr>
        <w:t>表</w:t>
      </w:r>
      <w:bookmarkStart w:id="12" w:name="stblS6"/>
      <w:r>
        <w:rPr>
          <w:rFonts w:ascii="Times New Roman" w:hAnsi="Times New Roman" w:eastAsia="宋体"/>
          <w:color w:val="000000"/>
        </w:rPr>
        <w:t>S6</w:t>
      </w:r>
      <w:bookmarkEnd w:id="12"/>
      <w:r>
        <w:rPr>
          <w:rFonts w:ascii="Times New Roman" w:hAnsi="Times New Roman" w:eastAsia="宋体"/>
          <w:color w:val="000000"/>
        </w:rPr>
        <w:t xml:space="preserve"> 相同披露数的大小与耗时（每方案每k为30次）</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H w:val="nil" w:sz="6" w:color="000000"/>
          <w:insideV w:val="nil" w:sz="6" w:color="000000"/>
        </w:tblBorders>
      </w:tblPr>
      <w:tblGrid>
        <w:gridCol w:w="397"/>
        <w:gridCol w:w="1077"/>
        <w:gridCol w:w="1077"/>
        <w:gridCol w:w="964"/>
        <w:gridCol w:w="1474"/>
        <w:gridCol w:w="1474"/>
        <w:gridCol w:w="907"/>
        <w:gridCol w:w="907"/>
      </w:tblGrid>
      <w:tr>
        <w:trPr>
          <w:cantSplit/>
          <w:tblHeader/>
          <w:cantSplit/>
          <w:tblHeader/>
          <w:tblHeader/>
        </w:trPr>
        <w:tc>
          <w:tcPr>
            <w:tcW w:type="dxa" w:w="397"/>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k/个</w:t>
            </w:r>
          </w:p>
        </w:tc>
        <w:tc>
          <w:tcPr>
            <w:tcW w:type="dxa" w:w="1077"/>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填充均值/B</w:t>
            </w:r>
          </w:p>
        </w:tc>
        <w:tc>
          <w:tcPr>
            <w:tcW w:type="dxa" w:w="1077"/>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紧致均值/B</w:t>
            </w:r>
          </w:p>
        </w:tc>
        <w:tc>
          <w:tcPr>
            <w:tcW w:type="dxa" w:w="964"/>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减少/B</w:t>
            </w:r>
          </w:p>
        </w:tc>
        <w:tc>
          <w:tcPr>
            <w:tcW w:type="dxa" w:w="1474"/>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填充范围/B</w:t>
            </w:r>
          </w:p>
        </w:tc>
        <w:tc>
          <w:tcPr>
            <w:tcW w:type="dxa" w:w="1474"/>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紧致范围/B</w:t>
            </w:r>
          </w:p>
        </w:tc>
        <w:tc>
          <w:tcPr>
            <w:tcW w:type="dxa" w:w="907"/>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填充/ms</w:t>
            </w:r>
          </w:p>
        </w:tc>
        <w:tc>
          <w:tcPr>
            <w:tcW w:type="dxa" w:w="907"/>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紧致/ms</w:t>
            </w:r>
          </w:p>
        </w:tc>
      </w:tr>
      <w:tr>
        <w:trPr>
          <w:cantSplit/>
          <w:cantSplit/>
        </w:trPr>
        <w:tc>
          <w:tcPr>
            <w:tcW w:type="dxa" w:w="39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0</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29114.33</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29113.83</w:t>
            </w:r>
          </w:p>
        </w:tc>
        <w:tc>
          <w:tcPr>
            <w:tcW w:type="dxa" w:w="96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0.50</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29,094—29,149</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29,081—29,154</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77.55</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71.95</w:t>
            </w:r>
          </w:p>
        </w:tc>
      </w:tr>
      <w:tr>
        <w:trPr>
          <w:cantSplit/>
          <w:cantSplit/>
        </w:trPr>
        <w:tc>
          <w:tcPr>
            <w:tcW w:type="dxa" w:w="39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1</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29116.03</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28911.77</w:t>
            </w:r>
          </w:p>
        </w:tc>
        <w:tc>
          <w:tcPr>
            <w:tcW w:type="dxa" w:w="96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204.27</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29,081—29,154</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28,882—28,944</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68.04</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71.27</w:t>
            </w:r>
          </w:p>
        </w:tc>
      </w:tr>
      <w:tr>
        <w:trPr>
          <w:cantSplit/>
          <w:cantSplit/>
        </w:trPr>
        <w:tc>
          <w:tcPr>
            <w:tcW w:type="dxa" w:w="39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29113.17</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28707.57</w:t>
            </w:r>
          </w:p>
        </w:tc>
        <w:tc>
          <w:tcPr>
            <w:tcW w:type="dxa" w:w="96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405.60</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29,069—29,146</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28,664—28,745</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66.70</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64.14</w:t>
            </w:r>
          </w:p>
        </w:tc>
      </w:tr>
      <w:tr>
        <w:trPr>
          <w:cantSplit/>
          <w:cantSplit/>
        </w:trPr>
        <w:tc>
          <w:tcPr>
            <w:tcW w:type="dxa" w:w="39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3</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29118.77</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28497.03</w:t>
            </w:r>
          </w:p>
        </w:tc>
        <w:tc>
          <w:tcPr>
            <w:tcW w:type="dxa" w:w="96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621.73</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29,086—29,151</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28,464—28,522</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70.61</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70.54</w:t>
            </w:r>
          </w:p>
        </w:tc>
      </w:tr>
      <w:tr>
        <w:trPr>
          <w:cantSplit/>
          <w:cantSplit/>
        </w:trPr>
        <w:tc>
          <w:tcPr>
            <w:tcW w:type="dxa" w:w="39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4</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29116.57</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28285.90</w:t>
            </w:r>
          </w:p>
        </w:tc>
        <w:tc>
          <w:tcPr>
            <w:tcW w:type="dxa" w:w="96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830.67</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29,081—29,155</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28,255—28,339</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65.86</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69.65</w:t>
            </w:r>
          </w:p>
        </w:tc>
      </w:tr>
      <w:tr>
        <w:trPr>
          <w:cantSplit/>
          <w:cantSplit/>
        </w:trPr>
        <w:tc>
          <w:tcPr>
            <w:tcW w:type="dxa" w:w="39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5</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29114.30</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28079.57</w:t>
            </w:r>
          </w:p>
        </w:tc>
        <w:tc>
          <w:tcPr>
            <w:tcW w:type="dxa" w:w="96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1034.73</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29,084—29,140</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28,045—28,107</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75.48</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64.38</w:t>
            </w:r>
          </w:p>
        </w:tc>
      </w:tr>
      <w:tr>
        <w:trPr>
          <w:cantSplit/>
          <w:cantSplit/>
        </w:trPr>
        <w:tc>
          <w:tcPr>
            <w:tcW w:type="dxa" w:w="39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29118.00</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27870.00</w:t>
            </w:r>
          </w:p>
        </w:tc>
        <w:tc>
          <w:tcPr>
            <w:tcW w:type="dxa" w:w="96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1248.00</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29,074—29,159</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27,828—27,901</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73.58</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57.72</w:t>
            </w:r>
          </w:p>
        </w:tc>
      </w:tr>
      <w:tr>
        <w:trPr>
          <w:cantSplit/>
          <w:cantSplit/>
        </w:trPr>
        <w:tc>
          <w:tcPr>
            <w:tcW w:type="dxa" w:w="39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7</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29123.73</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27663.97</w:t>
            </w:r>
          </w:p>
        </w:tc>
        <w:tc>
          <w:tcPr>
            <w:tcW w:type="dxa" w:w="96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1459.77</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29,102—29,154</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27,635—27,706</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74.75</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59.37</w:t>
            </w:r>
          </w:p>
        </w:tc>
      </w:tr>
      <w:tr>
        <w:trPr>
          <w:cantSplit/>
          <w:cantSplit/>
        </w:trPr>
        <w:tc>
          <w:tcPr>
            <w:tcW w:type="dxa" w:w="39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8</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29118.70</w:t>
            </w:r>
          </w:p>
        </w:tc>
        <w:tc>
          <w:tcPr>
            <w:tcW w:type="dxa" w:w="107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27460.07</w:t>
            </w:r>
          </w:p>
        </w:tc>
        <w:tc>
          <w:tcPr>
            <w:tcW w:type="dxa" w:w="96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1658.63</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29,072—29,149</w:t>
            </w:r>
          </w:p>
        </w:tc>
        <w:tc>
          <w:tcPr>
            <w:tcW w:type="dxa" w:w="1474"/>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27,436—27,495</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65.35</w:t>
            </w:r>
          </w:p>
        </w:tc>
        <w:tc>
          <w:tcPr>
            <w:tcW w:type="dxa" w:w="907"/>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64.81</w:t>
            </w:r>
          </w:p>
        </w:tc>
      </w:tr>
    </w:tbl>
    <w:p>
      <w:pPr>
        <w:spacing w:after="40" w:before="0" w:line="276" w:lineRule="auto"/>
        <w:widowControl/>
        <w:snapToGrid w:val="0"/>
      </w:pPr>
      <w:r>
        <w:t>D={0,…,k−1}；k=0共用填充参数的独立采样。范围为实际最小/最大。k=1/3/7减少量来自未舍入差，可与已舍入均值相减差0.01 B。k=1/4紧致计时更慢，k=3近持平；顺序扫描样本少，不能据通信趋势推断单调时间改善。</w:t>
      </w:r>
    </w:p>
    <w:p>
      <w:pPr>
        <w:keepNext/>
        <w:spacing w:after="40" w:before="120" w:line="276" w:lineRule="auto"/>
        <w:widowControl/>
        <w:snapToGrid w:val="0"/>
      </w:pPr>
      <w:r>
        <w:rPr>
          <w:b/>
          <w:sz w:val="22"/>
        </w:rPr>
        <w:t/>
      </w:r>
      <w:bookmarkStart w:id="13" w:name="ssecS4"/>
      <w:r>
        <w:rPr>
          <w:b/>
          <w:sz w:val="22"/>
        </w:rPr>
        <w:t>S4</w:t>
      </w:r>
      <w:bookmarkEnd w:id="13"/>
      <w:r>
        <w:rPr>
          <w:b/>
          <w:sz w:val="22"/>
        </w:rPr>
        <w:t xml:space="preserve"> 参数模型及其限制</w:t>
      </w:r>
    </w:p>
    <w:p>
      <w:pPr>
        <w:spacing w:after="40" w:before="0" w:line="276" w:lineRule="auto"/>
        <w:widowControl/>
        <w:snapToGrid w:val="0"/>
      </w:pPr>
      <w:r>
        <w:t>主版本保留模数、标准差和范数目标，但紧致改变维度/索引/参数结构。以下是原稿提取界重算及GSA/Core-SVP诊断，不是整协议安全等级认证，也不替代完整Sage生成和攻击族扫描。σ1=13002342.4，出示η=140、d=64、kMSIS=20，Bsq为内部范数平方界参数，区别于应用短原像范数界；签发第一维为24+1。E₁、E₂为中间标量，B(k)为提取界，δ₀为根Hermite因子，β为BKZ块大小；η为挑战控制参数，kMSIS为MSIS秩。MSIS/MLWE分别指模短整数解/模学习带误差问题，GSA为几何级数假设。</w:t>
      </w:r>
      <w:r>
        <w:t>式</w:t>
      </w:r>
      <w:fldSimple w:instr=" REF seqS2 \h ">
        <w:r>
          <w:t>S2</w:t>
        </w:r>
      </w:fldSimple>
      <w:r>
        <w:t xml:space="preserve">中，填充版保留48个应用坐标，维度项为48+2；紧致版删除k个坐标，维度项为48−k+2，其余项取对应参数文件。表</w:t>
      </w:r>
      <w:fldSimple w:instr=" REF stblS8 \h ">
        <w:r>
          <w:t>S8</w:t>
        </w:r>
      </w:fldSimple>
      <w:r>
        <w:t xml:space="preserve">只给出单项出示MSIS诊断。</w:t>
      </w:r>
      <w:r>
        <w:t xml:space="preserve">固定参数头文件与生成入口见表</w:t>
      </w:r>
      <w:fldSimple w:instr=" REF stblS8a \h ">
        <w:r>
          <w:t>S8a</w:t>
        </w:r>
      </w:fldSimple>
      <w:r>
        <w:t xml:space="preserve">；其Bsq值可复算表</w:t>
      </w:r>
      <w:fldSimple w:instr=" REF stblS8 \h ">
        <w:r>
          <w:t>S8</w:t>
        </w:r>
      </w:fldSimple>
      <w:r>
        <w:t xml:space="preserve">的全部log₂B。</w:t>
      </w:r>
    </w:p>
    <w:tbl>
      <w:tblPr>
        <w:tblW w:w="3941" w:type="dxa"/>
        <w:jc w:val="center"/>
        <w:tblBorders>
          <w:top w:val="nil"/>
          <w:left w:val="nil"/>
          <w:bottom w:val="nil"/>
          <w:right w:val="nil"/>
          <w:insideH w:val="nil"/>
          <w:insideV w:val="nil"/>
        </w:tblBorders>
        <w:tblLayout w:type="fixed"/>
        <w:tblCellMar>
          <w:top w:w="35" w:type="dxa"/>
          <w:left w:w="30" w:type="dxa"/>
          <w:bottom w:w="35" w:type="dxa"/>
          <w:right w:w="30" w:type="dxa"/>
        </w:tblCellMar>
        <w:tblLook w:val="0000" w:firstRow="0" w:lastRow="0" w:firstColumn="0" w:lastColumn="0" w:noHBand="0" w:noVBand="0"/>
      </w:tblPr>
      <w:tblGrid>
        <w:gridCol w:w="80"/>
        <w:gridCol w:w="3161"/>
        <w:gridCol w:w="700"/>
      </w:tblGrid>
      <w:tr w:rsidR="00223A64" w14:paraId="64AC8BAF" w14:textId="77777777">
        <w:trPr>
          <w:cantSplit/>
          <w:jc w:val="center"/>
          <w:cantSplit/>
          <w:tblHeader/>
        </w:trPr>
        <w:tc>
          <w:tcPr>
            <w:tcW w:w="80" w:type="dxa"/>
            <w:tcMar>
              <w:top w:w="0" w:type="dxa"/>
              <w:left w:w="0" w:type="dxa"/>
              <w:bottom w:w="0" w:type="dxa"/>
              <w:right w:w="0" w:type="dxa"/>
            </w:tcMar>
            <w:vAlign w:val="center"/>
          </w:tcPr>
          <w:p w14:paraId="108C9C76" w14:textId="77777777" w:rsidR="00223A64" w:rsidRDefault="00223A64">
            <w:pPr>
              <w:keepNext w:val="0"/>
              <w:widowControl/>
              <w:snapToGrid w:val="0"/>
              <w:spacing w:line="260" w:lineRule="auto" w:before="0" w:after="0"/>
              <w:jc w:val="center"/>
            </w:pPr>
          </w:p>
        </w:tc>
        <w:tc>
          <w:tcPr>
            <w:tcW w:w="3161" w:type="dxa"/>
            <w:tcMar>
              <w:top w:w="0" w:type="dxa"/>
              <w:left w:w="0" w:type="dxa"/>
              <w:bottom w:w="0" w:type="dxa"/>
              <w:right w:w="0" w:type="dxa"/>
            </w:tcMar>
            <w:vAlign w:val="center"/>
          </w:tcPr>
          <w:p w14:paraId="7D5B0B91" w14:textId="77777777" w:rsidR="00223A64" w:rsidRDefault="00000000">
            <w:pPr>
              <w:keepNext w:val="0"/>
              <w:widowControl/>
              <w:snapToGrid w:val="0"/>
              <w:spacing w:line="240" w:lineRule="auto" w:before="0" w:after="80"/>
              <w:jc w:val="center"/>
            </w:pPr>
            <m:oMathPara>
              <m:oMath>
                <m:eqArr>
                  <m:eqArrPr>
                    <m:rSpRule m:val="3"/>
                    <m:ctrlPr>
                      <w:rPr>
                        <w:rFonts w:ascii="Cambria Math" w:hAnsi="Cambria Math" w:eastAsia="Cambria Math" w:cs="Cambria Math"/>
                      </w:rPr>
                    </m:ctrlPr>
                  </m:eqArrPr>
                  <m:e>
                    <m:sSub>
                      <m:sSubPr>
                        <m:ctrlPr>
                          <w:rPr>
                            <w:rFonts w:ascii="Cambria Math" w:hAnsi="Cambria Math" w:eastAsia="Cambria Math" w:cs="Cambria Math"/>
                          </w:rPr>
                        </m:ctrlPr>
                      </m:sSubPr>
                      <m:e>
                        <m:r>
                          <m:rPr>
                            <m:sty m:val="i"/>
                          </m:rPr>
                          <w:rPr>
                            <w:rFonts w:ascii="Cambria Math" w:eastAsia="Cambria Math" w:hAnsi="Cambria Math" w:cs="Cambria Math"/>
                            <w:sz w:val="20"/>
                            <w:szCs w:val="20"/>
                          </w:rPr>
                          <m:t>E</m:t>
                        </m:r>
                      </m:e>
                      <m:sub>
                        <m:r>
                          <m:rPr>
                            <m:sty m:val="p"/>
                          </m:rPr>
                          <w:rPr>
                            <w:rFonts w:ascii="Cambria Math" w:eastAsia="Cambria Math" w:hAnsi="Cambria Math" w:cs="Cambria Math"/>
                            <w:sz w:val="20"/>
                            <w:szCs w:val="20"/>
                          </w:rPr>
                          <m:t>1</m:t>
                        </m:r>
                      </m:sub>
                    </m:sSub>
                    <m:d>
                      <m:dPr>
                        <m:ctrlPr>
                          <w:rPr>
                            <w:rFonts w:ascii="Cambria Math" w:hAnsi="Cambria Math" w:eastAsia="Cambria Math" w:cs="Cambria Math"/>
                          </w:rPr>
                        </m:ctrlPr>
                      </m:dPr>
                      <m:e>
                        <m:r>
                          <m:rPr>
                            <m:sty m:val="i"/>
                          </m:rPr>
                          <w:rPr>
                            <w:rFonts w:ascii="Cambria Math" w:eastAsia="Cambria Math" w:hAnsi="Cambria Math" w:cs="Cambria Math"/>
                            <w:sz w:val="20"/>
                            <w:szCs w:val="20"/>
                          </w:rPr>
                          <m:t>k</m:t>
                        </m:r>
                      </m:e>
                    </m:d>
                    <m:r>
                      <m:rPr>
                        <m:sty m:val="p"/>
                      </m:rPr>
                      <w:rPr>
                        <w:rFonts w:ascii="Cambria Math" w:eastAsia="Cambria Math" w:hAnsi="Cambria Math" w:cs="Cambria Math"/>
                        <w:sz w:val="20"/>
                        <w:szCs w:val="20"/>
                      </w:rPr>
                      <m:t>=</m:t>
                    </m:r>
                    <m:r>
                      <m:rPr>
                        <m:sty m:val="p"/>
                      </m:rPr>
                      <w:rPr>
                        <w:rFonts w:ascii="Cambria Math" w:eastAsia="Cambria Math" w:hAnsi="Cambria Math" w:cs="Cambria Math"/>
                        <w:sz w:val="20"/>
                        <w:szCs w:val="20"/>
                      </w:rPr>
                      <m:t>2</m:t>
                    </m:r>
                    <m:sSub>
                      <m:sSubPr>
                        <m:ctrlPr>
                          <w:rPr>
                            <w:rFonts w:ascii="Cambria Math" w:hAnsi="Cambria Math" w:eastAsia="Cambria Math" w:cs="Cambria Math"/>
                          </w:rPr>
                        </m:ctrlPr>
                      </m:sSubPr>
                      <m:e>
                        <m:r>
                          <m:rPr>
                            <m:sty m:val="i"/>
                          </m:rPr>
                          <w:rPr>
                            <w:rFonts w:ascii="Cambria Math" w:eastAsia="Cambria Math" w:hAnsi="Cambria Math" w:cs="Cambria Math"/>
                            <w:sz w:val="20"/>
                            <w:szCs w:val="20"/>
                          </w:rPr>
                          <m:t>σ</m:t>
                        </m:r>
                      </m:e>
                      <m:sub>
                        <m:r>
                          <m:rPr>
                            <m:sty m:val="p"/>
                          </m:rPr>
                          <w:rPr>
                            <w:rFonts w:ascii="Cambria Math" w:eastAsia="Cambria Math" w:hAnsi="Cambria Math" w:cs="Cambria Math"/>
                            <w:sz w:val="20"/>
                            <w:szCs w:val="20"/>
                          </w:rPr>
                          <m:t>1</m:t>
                        </m:r>
                      </m:sub>
                    </m:sSub>
                    <m:rad>
                      <m:radPr>
                        <m:degHide m:val="1"/>
                        <m:ctrlPr>
                          <w:rPr>
                            <w:rFonts w:ascii="Cambria Math" w:hAnsi="Cambria Math" w:eastAsia="Cambria Math" w:cs="Cambria Math"/>
                          </w:rPr>
                        </m:ctrlPr>
                      </m:radPr>
                      <m:deg/>
                      <m:e>
                        <m:r>
                          <m:rPr>
                            <m:sty m:val="p"/>
                          </m:rPr>
                          <w:rPr>
                            <w:rFonts w:ascii="Cambria Math" w:eastAsia="Cambria Math" w:hAnsi="Cambria Math" w:cs="Cambria Math"/>
                            <w:sz w:val="20"/>
                            <w:szCs w:val="20"/>
                          </w:rPr>
                          <m:t>2</m:t>
                        </m:r>
                        <m:d>
                          <m:dPr>
                            <m:ctrlPr>
                              <w:rPr>
                                <w:rFonts w:ascii="Cambria Math" w:hAnsi="Cambria Math" w:eastAsia="Cambria Math" w:cs="Cambria Math"/>
                              </w:rPr>
                            </m:ctrlPr>
                          </m:dPr>
                          <m:e>
                            <m:r>
                              <m:rPr>
                                <m:sty m:val="p"/>
                              </m:rPr>
                              <w:rPr>
                                <w:rFonts w:ascii="Cambria Math" w:eastAsia="Cambria Math" w:hAnsi="Cambria Math" w:cs="Cambria Math"/>
                                <w:sz w:val="20"/>
                                <w:szCs w:val="20"/>
                              </w:rPr>
                              <m:t>48</m:t>
                            </m:r>
                            <m:r>
                              <m:rPr>
                                <m:sty m:val="p"/>
                              </m:rPr>
                              <w:rPr>
                                <w:rFonts w:ascii="Cambria Math" w:eastAsia="Cambria Math" w:hAnsi="Cambria Math" w:cs="Cambria Math"/>
                                <w:sz w:val="20"/>
                                <w:szCs w:val="20"/>
                              </w:rPr>
                              <m:t>-</m:t>
                            </m:r>
                            <m:r>
                              <m:rPr>
                                <m:sty m:val="i"/>
                              </m:rPr>
                              <w:rPr>
                                <w:rFonts w:ascii="Cambria Math" w:eastAsia="Cambria Math" w:hAnsi="Cambria Math" w:cs="Cambria Math"/>
                                <w:sz w:val="20"/>
                                <w:szCs w:val="20"/>
                              </w:rPr>
                              <m:t>k</m:t>
                            </m:r>
                            <m:r>
                              <m:rPr>
                                <m:sty m:val="p"/>
                              </m:rPr>
                              <w:rPr>
                                <w:rFonts w:ascii="Cambria Math" w:eastAsia="Cambria Math" w:hAnsi="Cambria Math" w:cs="Cambria Math"/>
                                <w:sz w:val="20"/>
                                <w:szCs w:val="20"/>
                              </w:rPr>
                              <m:t>+</m:t>
                            </m:r>
                            <m:r>
                              <m:rPr>
                                <m:sty m:val="p"/>
                              </m:rPr>
                              <w:rPr>
                                <w:rFonts w:ascii="Cambria Math" w:eastAsia="Cambria Math" w:hAnsi="Cambria Math" w:cs="Cambria Math"/>
                                <w:sz w:val="20"/>
                                <w:szCs w:val="20"/>
                              </w:rPr>
                              <m:t>2</m:t>
                            </m:r>
                          </m:e>
                        </m:d>
                        <m:r>
                          <m:rPr>
                            <m:sty m:val="i"/>
                          </m:rPr>
                          <w:rPr>
                            <w:rFonts w:ascii="Cambria Math" w:eastAsia="Cambria Math" w:hAnsi="Cambria Math" w:cs="Cambria Math"/>
                            <w:sz w:val="20"/>
                            <w:szCs w:val="20"/>
                          </w:rPr>
                          <m:t>d</m:t>
                        </m:r>
                      </m:e>
                    </m:rad>
                    <m:r>
                      <m:rPr>
                        <m:sty m:val="p"/>
                      </m:rPr>
                      <w:rPr>
                        <w:rFonts w:ascii="Cambria Math" w:eastAsia="Cambria Math" w:hAnsi="Cambria Math" w:cs="Cambria Math"/>
                        <w:sz w:val="20"/>
                        <w:szCs w:val="20"/>
                      </w:rPr>
                      <m:t>,</m:t>
                    </m:r>
                    <m:r>
                      <m:rPr>
                        <m:sty/>
                      </m:rPr>
                      <w:rPr>
                        <w:rFonts w:ascii="Cambria Math" w:eastAsia="Cambria Math" w:hAnsi="Cambria Math" w:cs="Cambria Math"/>
                        <w:sz w:val="20"/>
                        <w:szCs w:val="20"/>
                      </w:rPr>
                      <m:t> </m:t>
                    </m:r>
                  </m:e>
                  <m:e>
                    <m:sSub>
                      <m:sSubPr>
                        <m:ctrlPr>
                          <w:rPr>
                            <w:rFonts w:ascii="Cambria Math" w:hAnsi="Cambria Math" w:eastAsia="Cambria Math" w:cs="Cambria Math"/>
                          </w:rPr>
                        </m:ctrlPr>
                      </m:sSubPr>
                      <m:e>
                        <m:r>
                          <m:rPr>
                            <m:sty m:val="i"/>
                          </m:rPr>
                          <w:rPr>
                            <w:rFonts w:ascii="Cambria Math" w:eastAsia="Cambria Math" w:hAnsi="Cambria Math" w:cs="Cambria Math"/>
                            <w:sz w:val="20"/>
                            <w:szCs w:val="20"/>
                          </w:rPr>
                          <m:t>E</m:t>
                        </m:r>
                      </m:e>
                      <m:sub>
                        <m:r>
                          <m:rPr>
                            <m:sty m:val="p"/>
                          </m:rPr>
                          <w:rPr>
                            <w:rFonts w:ascii="Cambria Math" w:eastAsia="Cambria Math" w:hAnsi="Cambria Math" w:cs="Cambria Math"/>
                            <w:sz w:val="20"/>
                            <w:szCs w:val="20"/>
                          </w:rPr>
                          <m:t>2</m:t>
                        </m:r>
                      </m:sub>
                    </m:sSub>
                    <m:r>
                      <m:rPr>
                        <m:sty m:val="p"/>
                      </m:rPr>
                      <w:rPr>
                        <w:rFonts w:ascii="Cambria Math" w:eastAsia="Cambria Math" w:hAnsi="Cambria Math" w:cs="Cambria Math"/>
                        <w:sz w:val="20"/>
                        <w:szCs w:val="20"/>
                      </w:rPr>
                      <m:t>=</m:t>
                    </m:r>
                    <m:r>
                      <m:rPr>
                        <m:sty m:val="p"/>
                      </m:rPr>
                      <w:rPr>
                        <w:rFonts w:ascii="Cambria Math" w:eastAsia="Cambria Math" w:hAnsi="Cambria Math" w:cs="Cambria Math"/>
                        <w:sz w:val="20"/>
                        <w:szCs w:val="20"/>
                      </w:rPr>
                      <m:t>2</m:t>
                    </m:r>
                    <m:rad>
                      <m:radPr>
                        <m:degHide m:val="1"/>
                        <m:ctrlPr>
                          <w:rPr>
                            <w:rFonts w:ascii="Cambria Math" w:hAnsi="Cambria Math" w:eastAsia="Cambria Math" w:cs="Cambria Math"/>
                          </w:rPr>
                        </m:ctrlPr>
                      </m:radPr>
                      <m:deg/>
                      <m:e>
                        <m:r>
                          <m:rPr>
                            <m:scr m:val="monospace"/>
                            <m:sty m:val="p"/>
                          </m:rPr>
                          <w:rPr>
                            <w:rFonts w:ascii="Cambria Math" w:eastAsia="Cambria Math" w:hAnsi="Cambria Math" w:cs="Cambria Math"/>
                            <w:sz w:val="20"/>
                            <w:szCs w:val="20"/>
                          </w:rPr>
                          <m:t>Bsq</m:t>
                        </m:r>
                      </m:e>
                    </m:rad>
                  </m:e>
                </m:eqArr>
              </m:oMath>
            </m:oMathPara>
          </w:p>
          <w:p w14:paraId="28D7BC6D" w14:textId="77777777" w:rsidR="00223A64" w:rsidRDefault="00000000">
            <w:pPr>
              <w:keepNext w:val="0"/>
              <w:widowControl/>
              <w:snapToGrid w:val="0"/>
              <w:spacing w:line="240" w:lineRule="auto" w:before="0" w:after="80"/>
              <w:jc w:val="center"/>
            </w:pPr>
            <m:oMathPara>
              <m:oMath>
                <m:eqArr>
                  <m:eqArrPr>
                    <m:rSpRule m:val="3"/>
                    <m:ctrlPr>
                      <w:rPr>
                        <w:rFonts w:ascii="Cambria Math" w:hAnsi="Cambria Math" w:eastAsia="Cambria Math" w:cs="Cambria Math"/>
                      </w:rPr>
                    </m:ctrlPr>
                  </m:eqArrPr>
                  <m:e>
                    <m:r>
                      <m:rPr>
                        <m:sty m:val="i"/>
                      </m:rPr>
                      <w:rPr>
                        <w:rFonts w:ascii="Cambria Math" w:eastAsia="Cambria Math" w:hAnsi="Cambria Math" w:cs="Cambria Math"/>
                        <w:sz w:val="20"/>
                        <w:szCs w:val="20"/>
                      </w:rPr>
                      <m:t>B</m:t>
                    </m:r>
                    <m:d>
                      <m:dPr>
                        <m:ctrlPr>
                          <w:rPr>
                            <w:rFonts w:ascii="Cambria Math" w:hAnsi="Cambria Math" w:eastAsia="Cambria Math" w:cs="Cambria Math"/>
                          </w:rPr>
                        </m:ctrlPr>
                      </m:dPr>
                      <m:e>
                        <m:r>
                          <m:rPr>
                            <m:sty m:val="i"/>
                          </m:rPr>
                          <w:rPr>
                            <w:rFonts w:ascii="Cambria Math" w:eastAsia="Cambria Math" w:hAnsi="Cambria Math" w:cs="Cambria Math"/>
                            <w:sz w:val="20"/>
                            <w:szCs w:val="20"/>
                          </w:rPr>
                          <m:t>k</m:t>
                        </m:r>
                      </m:e>
                    </m:d>
                    <m:r>
                      <m:rPr>
                        <m:sty m:val="p"/>
                      </m:rPr>
                      <w:rPr>
                        <w:rFonts w:ascii="Cambria Math" w:eastAsia="Cambria Math" w:hAnsi="Cambria Math" w:cs="Cambria Math"/>
                        <w:sz w:val="20"/>
                        <w:szCs w:val="20"/>
                      </w:rPr>
                      <m:t>=</m:t>
                    </m:r>
                    <m:r>
                      <m:rPr>
                        <m:sty/>
                      </m:rPr>
                      <w:rPr>
                        <w:rFonts w:ascii="Cambria Math" w:eastAsia="Cambria Math" w:hAnsi="Cambria Math" w:cs="Cambria Math"/>
                        <w:sz w:val="20"/>
                        <w:szCs w:val="20"/>
                      </w:rPr>
                      <m:t>4η</m:t>
                    </m:r>
                    <m:rad>
                      <m:radPr>
                        <m:degHide m:val="1"/>
                        <m:ctrlPr>
                          <w:rPr>
                            <w:rFonts w:ascii="Cambria Math" w:hAnsi="Cambria Math" w:eastAsia="Cambria Math" w:cs="Cambria Math"/>
                          </w:rPr>
                        </m:ctrlPr>
                      </m:radPr>
                      <m:deg/>
                      <m:e>
                        <m:sSub>
                          <m:sSubPr>
                            <m:ctrlPr>
                              <w:rPr>
                                <w:rFonts w:ascii="Cambria Math" w:hAnsi="Cambria Math" w:eastAsia="Cambria Math" w:cs="Cambria Math"/>
                              </w:rPr>
                            </m:ctrlPr>
                          </m:sSubPr>
                          <m:e>
                            <m:r>
                              <m:rPr>
                                <m:sty m:val="i"/>
                              </m:rPr>
                              <w:rPr>
                                <w:rFonts w:ascii="Cambria Math" w:eastAsia="Cambria Math" w:hAnsi="Cambria Math" w:cs="Cambria Math"/>
                                <w:sz w:val="20"/>
                                <w:szCs w:val="20"/>
                              </w:rPr>
                              <m:t>E</m:t>
                            </m:r>
                          </m:e>
                          <m:sub>
                            <m:r>
                              <m:rPr>
                                <m:sty m:val="p"/>
                              </m:rPr>
                              <w:rPr>
                                <w:rFonts w:ascii="Cambria Math" w:eastAsia="Cambria Math" w:hAnsi="Cambria Math" w:cs="Cambria Math"/>
                                <w:sz w:val="20"/>
                                <w:szCs w:val="20"/>
                              </w:rPr>
                              <m:t>1</m:t>
                            </m:r>
                          </m:sub>
                        </m:sSub>
                        <m:sSup>
                          <m:sSupPr>
                            <m:ctrlPr>
                              <w:rPr>
                                <w:rFonts w:ascii="Cambria Math" w:hAnsi="Cambria Math" w:eastAsia="Cambria Math" w:cs="Cambria Math"/>
                              </w:rPr>
                            </m:ctrlPr>
                          </m:sSupPr>
                          <m:e>
                            <m:d>
                              <m:dPr>
                                <m:ctrlPr>
                                  <w:rPr>
                                    <w:rFonts w:ascii="Cambria Math" w:hAnsi="Cambria Math" w:eastAsia="Cambria Math" w:cs="Cambria Math"/>
                                  </w:rPr>
                                </m:ctrlPr>
                              </m:dPr>
                              <m:e>
                                <m:r>
                                  <m:rPr>
                                    <m:sty m:val="i"/>
                                  </m:rPr>
                                  <w:rPr>
                                    <w:rFonts w:ascii="Cambria Math" w:eastAsia="Cambria Math" w:hAnsi="Cambria Math" w:cs="Cambria Math"/>
                                    <w:sz w:val="20"/>
                                    <w:szCs w:val="20"/>
                                  </w:rPr>
                                  <m:t>k</m:t>
                                </m:r>
                              </m:e>
                            </m:d>
                          </m:e>
                          <m:sup>
                            <m:r>
                              <m:rPr>
                                <m:sty m:val="p"/>
                              </m:rPr>
                              <w:rPr>
                                <w:rFonts w:ascii="Cambria Math" w:eastAsia="Cambria Math" w:hAnsi="Cambria Math" w:cs="Cambria Math"/>
                                <w:sz w:val="20"/>
                                <w:szCs w:val="20"/>
                              </w:rPr>
                              <m:t>2</m:t>
                            </m:r>
                          </m:sup>
                        </m:sSup>
                        <m:r>
                          <m:rPr>
                            <m:sty m:val="p"/>
                          </m:rPr>
                          <w:rPr>
                            <w:rFonts w:ascii="Cambria Math" w:eastAsia="Cambria Math" w:hAnsi="Cambria Math" w:cs="Cambria Math"/>
                            <w:sz w:val="20"/>
                            <w:szCs w:val="20"/>
                          </w:rPr>
                          <m:t>+</m:t>
                        </m:r>
                        <m:sSubSup>
                          <m:sSubSupPr>
                            <m:ctrlPr>
                              <w:rPr>
                                <w:rFonts w:ascii="Cambria Math" w:hAnsi="Cambria Math" w:eastAsia="Cambria Math" w:cs="Cambria Math"/>
                              </w:rPr>
                            </m:ctrlPr>
                          </m:sSubSupPr>
                          <m:e>
                            <m:r>
                              <m:rPr>
                                <m:sty m:val="i"/>
                              </m:rPr>
                              <w:rPr>
                                <w:rFonts w:ascii="Cambria Math" w:eastAsia="Cambria Math" w:hAnsi="Cambria Math" w:cs="Cambria Math"/>
                                <w:sz w:val="20"/>
                                <w:szCs w:val="20"/>
                              </w:rPr>
                              <m:t>E</m:t>
                            </m:r>
                          </m:e>
                          <m:sub>
                            <m:r>
                              <m:rPr>
                                <m:sty m:val="p"/>
                              </m:rPr>
                              <w:rPr>
                                <w:rFonts w:ascii="Cambria Math" w:eastAsia="Cambria Math" w:hAnsi="Cambria Math" w:cs="Cambria Math"/>
                                <w:sz w:val="20"/>
                                <w:szCs w:val="20"/>
                              </w:rPr>
                              <m:t>2</m:t>
                            </m:r>
                          </m:sub>
                          <m:sup>
                            <m:r>
                              <m:rPr>
                                <m:sty m:val="p"/>
                              </m:rPr>
                              <w:rPr>
                                <w:rFonts w:ascii="Cambria Math" w:eastAsia="Cambria Math" w:hAnsi="Cambria Math" w:cs="Cambria Math"/>
                                <w:sz w:val="20"/>
                                <w:szCs w:val="20"/>
                              </w:rPr>
                              <m:t>2</m:t>
                            </m:r>
                          </m:sup>
                        </m:sSubSup>
                      </m:e>
                    </m:rad>
                    <m:r>
                      <m:rPr>
                        <m:sty m:val="p"/>
                      </m:rPr>
                      <w:rPr>
                        <w:rFonts w:ascii="Cambria Math" w:eastAsia="Cambria Math" w:hAnsi="Cambria Math" w:cs="Cambria Math"/>
                        <w:sz w:val="20"/>
                        <w:szCs w:val="20"/>
                      </w:rPr>
                      <m:t>,</m:t>
                    </m:r>
                    <m:r>
                      <m:rPr>
                        <m:sty/>
                      </m:rPr>
                      <w:rPr>
                        <w:rFonts w:ascii="Cambria Math" w:eastAsia="Cambria Math" w:hAnsi="Cambria Math" w:cs="Cambria Math"/>
                        <w:sz w:val="20"/>
                        <w:szCs w:val="20"/>
                      </w:rPr>
                      <m:t> </m:t>
                    </m:r>
                  </m:e>
                  <m:e>
                    <m:sSub>
                      <m:sSubPr>
                        <m:ctrlPr>
                          <w:rPr>
                            <w:rFonts w:ascii="Cambria Math" w:hAnsi="Cambria Math" w:eastAsia="Cambria Math" w:cs="Cambria Math"/>
                          </w:rPr>
                        </m:ctrlPr>
                      </m:sSubPr>
                      <m:e>
                        <m:r>
                          <m:rPr>
                            <m:sty m:val="i"/>
                          </m:rPr>
                          <w:rPr>
                            <w:rFonts w:ascii="Cambria Math" w:eastAsia="Cambria Math" w:hAnsi="Cambria Math" w:cs="Cambria Math"/>
                            <w:sz w:val="20"/>
                            <w:szCs w:val="20"/>
                          </w:rPr>
                          <m:t>δ</m:t>
                        </m:r>
                      </m:e>
                      <m:sub>
                        <m:r>
                          <m:rPr>
                            <m:sty m:val="p"/>
                          </m:rPr>
                          <w:rPr>
                            <w:rFonts w:ascii="Cambria Math" w:eastAsia="Cambria Math" w:hAnsi="Cambria Math" w:cs="Cambria Math"/>
                            <w:sz w:val="20"/>
                            <w:szCs w:val="20"/>
                          </w:rPr>
                          <m:t>0</m:t>
                        </m:r>
                      </m:sub>
                    </m:sSub>
                    <m:r>
                      <m:rPr>
                        <m:sty m:val="p"/>
                      </m:rPr>
                      <w:rPr>
                        <w:rFonts w:ascii="Cambria Math" w:eastAsia="Cambria Math" w:hAnsi="Cambria Math" w:cs="Cambria Math"/>
                        <w:sz w:val="20"/>
                        <w:szCs w:val="20"/>
                      </w:rPr>
                      <m:t>=</m:t>
                    </m:r>
                    <m:sSup>
                      <m:sSupPr>
                        <m:ctrlPr>
                          <w:rPr>
                            <w:rFonts w:ascii="Cambria Math" w:hAnsi="Cambria Math" w:eastAsia="Cambria Math" w:cs="Cambria Math"/>
                          </w:rPr>
                        </m:ctrlPr>
                      </m:sSupPr>
                      <m:e>
                        <m:r>
                          <m:rPr>
                            <m:sty m:val="p"/>
                          </m:rPr>
                          <w:rPr>
                            <w:rFonts w:ascii="Cambria Math" w:eastAsia="Cambria Math" w:hAnsi="Cambria Math" w:cs="Cambria Math"/>
                            <w:sz w:val="20"/>
                            <w:szCs w:val="20"/>
                          </w:rPr>
                          <m:t>2</m:t>
                        </m:r>
                      </m:e>
                      <m:sup>
                        <m:f>
                          <m:fPr>
                            <m:ctrlPr>
                              <w:rPr>
                                <w:rFonts w:ascii="Cambria Math" w:hAnsi="Cambria Math" w:eastAsia="Cambria Math" w:cs="Cambria Math"/>
                              </w:rPr>
                            </m:ctrlPr>
                          </m:fPr>
                          <m:num>
                            <m:sSup>
                              <m:sSupPr>
                                <m:ctrlPr>
                                  <w:rPr>
                                    <w:rFonts w:ascii="Cambria Math" w:hAnsi="Cambria Math" w:eastAsia="Cambria Math" w:cs="Cambria Math"/>
                                  </w:rPr>
                                </m:ctrlPr>
                              </m:sSupPr>
                              <m:e>
                                <m:d>
                                  <m:dPr>
                                    <m:ctrlPr>
                                      <w:rPr>
                                        <w:rFonts w:ascii="Cambria Math" w:hAnsi="Cambria Math" w:eastAsia="Cambria Math" w:cs="Cambria Math"/>
                                      </w:rPr>
                                    </m:ctrlPr>
                                  </m:dPr>
                                  <m:e>
                                    <m:sSub>
                                      <m:sSubPr>
                                        <m:ctrlPr>
                                          <w:rPr>
                                            <w:rFonts w:ascii="Cambria Math" w:hAnsi="Cambria Math" w:eastAsia="Cambria Math" w:cs="Cambria Math"/>
                                          </w:rPr>
                                        </m:ctrlPr>
                                      </m:sSubPr>
                                      <m:e>
                                        <m:r>
                                          <m:rPr>
                                            <m:sty m:val="p"/>
                                          </m:rPr>
                                          <w:rPr>
                                            <w:rFonts w:ascii="Cambria Math" w:eastAsia="Cambria Math" w:hAnsi="Cambria Math" w:cs="Cambria Math"/>
                                            <w:sz w:val="20"/>
                                            <w:szCs w:val="20"/>
                                          </w:rPr>
                                          <m:t>log</m:t>
                                        </m:r>
                                      </m:e>
                                      <m:sub>
                                        <m:r>
                                          <m:rPr>
                                            <m:sty m:val="p"/>
                                          </m:rPr>
                                          <w:rPr>
                                            <w:rFonts w:ascii="Cambria Math" w:eastAsia="Cambria Math" w:hAnsi="Cambria Math" w:cs="Cambria Math"/>
                                            <w:sz w:val="20"/>
                                            <w:szCs w:val="20"/>
                                          </w:rPr>
                                          <m:t>2</m:t>
                                        </m:r>
                                      </m:sub>
                                    </m:sSub>
                                    <m:r>
                                      <m:rPr>
                                        <m:sty m:val="i"/>
                                      </m:rPr>
                                      <w:rPr>
                                        <w:rFonts w:ascii="Cambria Math" w:eastAsia="Cambria Math" w:hAnsi="Cambria Math" w:cs="Cambria Math"/>
                                        <w:sz w:val="20"/>
                                        <w:szCs w:val="20"/>
                                      </w:rPr>
                                      <m:t>B</m:t>
                                    </m:r>
                                  </m:e>
                                </m:d>
                              </m:e>
                              <m:sup>
                                <m:r>
                                  <m:rPr>
                                    <m:sty m:val="p"/>
                                  </m:rPr>
                                  <w:rPr>
                                    <w:rFonts w:ascii="Cambria Math" w:eastAsia="Cambria Math" w:hAnsi="Cambria Math" w:cs="Cambria Math"/>
                                    <w:sz w:val="20"/>
                                    <w:szCs w:val="20"/>
                                  </w:rPr>
                                  <m:t>2</m:t>
                                </m:r>
                              </m:sup>
                            </m:sSup>
                          </m:num>
                          <m:den>
                            <m:r>
                              <m:rPr>
                                <m:sty/>
                              </m:rPr>
                              <w:rPr>
                                <w:rFonts w:ascii="Cambria Math" w:eastAsia="Cambria Math" w:hAnsi="Cambria Math" w:cs="Cambria Math"/>
                                <w:sz w:val="20"/>
                                <w:szCs w:val="20"/>
                              </w:rPr>
                              <m:t>4d </m:t>
                            </m:r>
                            <m:sSub>
                              <m:sSubPr>
                                <m:ctrlPr>
                                  <w:rPr>
                                    <w:rFonts w:ascii="Cambria Math" w:hAnsi="Cambria Math" w:eastAsia="Cambria Math" w:cs="Cambria Math"/>
                                  </w:rPr>
                                </m:ctrlPr>
                              </m:sSubPr>
                              <m:e>
                                <m:r>
                                  <m:rPr>
                                    <m:sty m:val="i"/>
                                  </m:rPr>
                                  <w:rPr>
                                    <w:rFonts w:ascii="Cambria Math" w:eastAsia="Cambria Math" w:hAnsi="Cambria Math" w:cs="Cambria Math"/>
                                    <w:sz w:val="20"/>
                                    <w:szCs w:val="20"/>
                                  </w:rPr>
                                  <m:t>k</m:t>
                                </m:r>
                              </m:e>
                              <m:sub>
                                <m:r>
                                  <m:rPr>
                                    <m:sty m:val="p"/>
                                  </m:rPr>
                                  <w:rPr>
                                    <w:rFonts w:ascii="Cambria Math" w:eastAsia="Cambria Math" w:hAnsi="Cambria Math" w:cs="Cambria Math"/>
                                    <w:sz w:val="20"/>
                                    <w:szCs w:val="20"/>
                                  </w:rPr>
                                  <m:t>MSIS</m:t>
                                </m:r>
                              </m:sub>
                            </m:sSub>
                            <m:sSub>
                              <m:sSubPr>
                                <m:ctrlPr>
                                  <w:rPr>
                                    <w:rFonts w:ascii="Cambria Math" w:hAnsi="Cambria Math" w:eastAsia="Cambria Math" w:cs="Cambria Math"/>
                                  </w:rPr>
                                </m:ctrlPr>
                              </m:sSubPr>
                              <m:e>
                                <m:r>
                                  <m:rPr>
                                    <m:sty m:val="p"/>
                                  </m:rPr>
                                  <w:rPr>
                                    <w:rFonts w:ascii="Cambria Math" w:eastAsia="Cambria Math" w:hAnsi="Cambria Math" w:cs="Cambria Math"/>
                                    <w:sz w:val="20"/>
                                    <w:szCs w:val="20"/>
                                  </w:rPr>
                                  <m:t>log</m:t>
                                </m:r>
                              </m:e>
                              <m:sub>
                                <m:r>
                                  <m:rPr>
                                    <m:sty m:val="p"/>
                                  </m:rPr>
                                  <w:rPr>
                                    <w:rFonts w:ascii="Cambria Math" w:eastAsia="Cambria Math" w:hAnsi="Cambria Math" w:cs="Cambria Math"/>
                                    <w:sz w:val="20"/>
                                    <w:szCs w:val="20"/>
                                  </w:rPr>
                                  <m:t>2</m:t>
                                </m:r>
                              </m:sub>
                            </m:sSub>
                            <m:r>
                              <m:rPr>
                                <m:sty m:val="i"/>
                              </m:rPr>
                              <w:rPr>
                                <w:rFonts w:ascii="Cambria Math" w:eastAsia="Cambria Math" w:hAnsi="Cambria Math" w:cs="Cambria Math"/>
                                <w:sz w:val="20"/>
                                <w:szCs w:val="20"/>
                              </w:rPr>
                              <m:t>q</m:t>
                            </m:r>
                          </m:den>
                        </m:f>
                      </m:sup>
                    </m:sSup>
                  </m:e>
                </m:eqArr>
              </m:oMath>
            </m:oMathPara>
          </w:p>
        </w:tc>
        <w:tc>
          <w:tcPr>
            <w:tcW w:w="700" w:type="dxa"/>
            <w:noWrap/>
            <w:tcMar>
              <w:top w:w="0" w:type="dxa"/>
              <w:left w:w="0" w:type="dxa"/>
              <w:bottom w:w="0" w:type="dxa"/>
              <w:right w:w="0" w:type="dxa"/>
            </w:tcMar>
            <w:vAlign w:val="center"/>
          </w:tcPr>
          <w:p>
            <w:pPr>
              <w:keepNext w:val="0"/>
              <w:spacing w:before="0" w:after="0"/>
              <w:snapToGrid w:val="0"/>
            </w:pPr>
            <w:r>
              <w:t>（</w:t>
            </w:r>
            <w:bookmarkStart w:id="28" w:name="seqS2"/>
            <w:r>
              <w:t>S2</w:t>
            </w:r>
            <w:bookmarkEnd w:id="28"/>
            <w:r>
              <w:t xml:space="preserve">）</w:t>
            </w:r>
          </w:p>
        </w:tc>
      </w:tr>
    </w:tbl>
    <w:p>
      <w:pPr>
        <w:keepNext/>
        <w:spacing w:after="40" w:before="120" w:line="276" w:lineRule="auto"/>
        <w:widowControl/>
        <w:snapToGrid w:val="0"/>
      </w:pPr>
      <w:r>
        <w:rPr>
          <w:b/>
          <w:sz w:val="22"/>
        </w:rPr>
        <w:t>表</w:t>
      </w:r>
      <w:bookmarkStart w:id="14" w:name="stblS7"/>
      <w:r>
        <w:rPr>
          <w:b/>
          <w:sz w:val="22"/>
        </w:rPr>
        <w:t>S7</w:t>
      </w:r>
      <w:bookmarkEnd w:id="14"/>
      <w:r>
        <w:rPr>
          <w:b/>
          <w:sz w:val="22"/>
        </w:rPr>
        <w:t xml:space="preserve"> 当前配置的六实例通用模型 非整协议安全位数</w:t>
      </w:r>
    </w:p>
    <w:tbl>
      <w:tblPr>
        <w:tblW w:w="8306" w:type="dxa"/>
        <w:jc w:val="center"/>
        <w:tblLayout w:type="fixed"/>
        <w:tblCellMar>
          <w:top w:w="35" w:type="dxa"/>
          <w:left w:w="30" w:type="dxa"/>
          <w:bottom w:w="35" w:type="dxa"/>
          <w:right w:w="30" w:type="dxa"/>
        </w:tblCellMar>
        <w:tblLook w:val="04A0" w:firstRow="1" w:lastRow="0" w:firstColumn="1" w:lastColumn="0" w:noHBand="0" w:noVBand="1"/>
        <w:tblBorders>
          <w:top w:val="single" w:sz="6" w:color="000000"/>
          <w:bottom w:val="single" w:sz="6" w:color="000000"/>
          <w:left w:val="nil" w:sz="6" w:color="000000"/>
          <w:right w:val="nil" w:sz="6" w:color="000000"/>
          <w:insideH w:val="nil" w:sz="6" w:color="000000"/>
          <w:insideV w:val="nil" w:sz="6" w:color="000000"/>
        </w:tblBorders>
      </w:tblPr>
      <w:tblGrid>
        <w:gridCol w:w="1726"/>
        <w:gridCol w:w="1241"/>
        <w:gridCol w:w="701"/>
        <w:gridCol w:w="1780"/>
        <w:gridCol w:w="2858"/>
      </w:tblGrid>
      <w:tr w:rsidR="00223A64" w14:paraId="34F31E48" w14:textId="77777777">
        <w:trPr>
          <w:cantSplit/>
          <w:tblHeader/>
          <w:jc w:val="center"/>
          <w:cantSplit/>
          <w:tblHeader/>
          <w:tblHeader/>
        </w:trPr>
        <w:tc>
          <w:tcPr>
            <w:tcW w:w="1726"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实例</w:t>
            </w:r>
          </w:p>
        </w:tc>
        <w:tc>
          <w:tcPr>
            <w:tcW w:w="1241"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r>
            <w:r>
              <w:rPr>
                <w:rFonts w:ascii="Times New Roman" w:hAnsi="Times New Roman" w:eastAsia="宋体"/>
                <w:b/>
                <w:color w:val="000000"/>
                <w:sz w:val="18"/>
              </w:rPr>
              <w:t>根Hermite因子</w:t>
            </w:r>
            <m:oMath>
              <m:sSub>
                <m:sSubPr>
                  <m:ctrlPr>
                    <w:rPr>
                      <w:rFonts w:ascii="Cambria Math" w:hAnsi="Cambria Math" w:eastAsia="Cambria Math" w:cs="Cambria Math"/>
                    </w:rPr>
                  </m:ctrlPr>
                </m:sSubPr>
                <m:e>
                  <m:r>
                    <m:rPr>
                      <m:sty m:val="i"/>
                    </m:rPr>
                    <w:rPr>
                      <w:rFonts w:ascii="Cambria Math" w:eastAsia="Cambria Math" w:hAnsi="Cambria Math" w:cs="Cambria Math"/>
                      <w:sz w:val="20"/>
                      <w:szCs w:val="20"/>
                    </w:rPr>
                    <m:t>δ</m:t>
                  </m:r>
                </m:e>
                <m:sub>
                  <m:r>
                    <m:rPr>
                      <m:sty m:val="p"/>
                    </m:rPr>
                    <w:rPr>
                      <w:rFonts w:ascii="Cambria Math" w:eastAsia="Cambria Math" w:hAnsi="Cambria Math" w:cs="Cambria Math"/>
                      <w:sz w:val="20"/>
                      <w:szCs w:val="20"/>
                    </w:rPr>
                    <m:t>0</m:t>
                  </m:r>
                </m:sub>
              </m:sSub>
            </m:oMath>
            <w:r>
              <w:rPr>
                <w:rFonts w:ascii="Times New Roman" w:hAnsi="Times New Roman" w:eastAsia="宋体"/>
                <w:b/>
                <w:color w:val="000000"/>
                <w:sz w:val="18"/>
              </w:rPr>
              <w:t>/1</w:t>
            </w:r>
          </w:p>
        </w:tc>
        <w:tc>
          <w:tcPr>
            <w:tcW w:w="701"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r>
            <w:r>
              <w:rPr>
                <w:rFonts w:ascii="Times New Roman" w:hAnsi="Times New Roman" w:eastAsia="宋体"/>
                <w:b/>
                <w:color w:val="000000"/>
                <w:sz w:val="18"/>
              </w:rPr>
              <w:t>BKZ块大小</w:t>
            </w:r>
            <m:oMath>
              <m:r>
                <m:rPr>
                  <m:sty m:val="i"/>
                </m:rPr>
                <w:rPr>
                  <w:rFonts w:ascii="Cambria Math" w:eastAsia="Cambria Math" w:hAnsi="Cambria Math" w:cs="Cambria Math"/>
                  <w:sz w:val="20"/>
                  <w:szCs w:val="20"/>
                </w:rPr>
                <m:t>β</m:t>
              </m:r>
            </m:oMath>
            <w:r>
              <w:rPr>
                <w:rFonts w:ascii="Times New Roman" w:hAnsi="Times New Roman" w:eastAsia="宋体"/>
                <w:b/>
                <w:color w:val="000000"/>
                <w:sz w:val="18"/>
              </w:rPr>
              <w:t>/1</w:t>
            </w:r>
          </w:p>
        </w:tc>
        <w:tc>
          <w:tcPr>
            <w:tcW w:w="1780"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r>
            <w:r>
              <w:rPr>
                <w:rFonts w:ascii="Times New Roman" w:hAnsi="Times New Roman" w:eastAsia="宋体"/>
                <w:b/>
                <w:color w:val="000000"/>
                <w:sz w:val="18"/>
              </w:rPr>
              <w:t>经典/量子</w:t>
            </w:r>
            <m:oMath>
              <m:sSub>
                <m:sSubPr>
                  <m:ctrlPr>
                    <w:rPr>
                      <w:rFonts w:ascii="Cambria Math" w:hAnsi="Cambria Math" w:eastAsia="Cambria Math" w:cs="Cambria Math"/>
                    </w:rPr>
                  </m:ctrlPr>
                </m:sSubPr>
                <m:e>
                  <m:r>
                    <m:rPr>
                      <m:sty m:val="p"/>
                    </m:rPr>
                    <w:rPr>
                      <w:rFonts w:ascii="Cambria Math" w:eastAsia="Cambria Math" w:hAnsi="Cambria Math" w:cs="Cambria Math"/>
                      <w:sz w:val="20"/>
                      <w:szCs w:val="20"/>
                    </w:rPr>
                    <m:t>log</m:t>
                  </m:r>
                </m:e>
                <m:sub>
                  <m:r>
                    <m:rPr>
                      <m:sty m:val="p"/>
                    </m:rPr>
                    <w:rPr>
                      <w:rFonts w:ascii="Cambria Math" w:eastAsia="Cambria Math" w:hAnsi="Cambria Math" w:cs="Cambria Math"/>
                      <w:sz w:val="20"/>
                      <w:szCs w:val="20"/>
                    </w:rPr>
                    <m:t>2</m:t>
                  </m:r>
                </m:sub>
              </m:sSub>
            </m:oMath>
            <w:r>
              <w:rPr>
                <w:rFonts w:ascii="Times New Roman" w:hAnsi="Times New Roman" w:eastAsia="宋体"/>
                <w:b/>
                <w:color w:val="000000"/>
                <w:sz w:val="18"/>
              </w:rPr>
              <w:t>成本/1</w:t>
            </w:r>
          </w:p>
        </w:tc>
        <w:tc>
          <w:tcPr>
            <w:tcW w:w="2858"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范围</w:t>
            </w:r>
          </w:p>
        </w:tc>
      </w:tr>
      <w:tr w:rsidR="00223A64" w14:paraId="43117FA9" w14:textId="77777777">
        <w:trPr>
          <w:cantSplit/>
          <w:jc w:val="center"/>
          <w:cantSplit/>
        </w:trPr>
        <w:tc>
          <w:tcPr>
            <w:tcW w:w="1726" w:type="dxa"/>
            <w:vAlign w:val="center"/>
            <w:tcMar>
              <w:top w:w="25" w:type="dxa"/>
              <w:bottom w:w="25" w:type="dxa"/>
              <w:left w:w="25" w:type="dxa"/>
              <w:right w:w="25" w:type="dxa"/>
            </w:tcMar>
          </w:tcPr>
          <w:p w14:paraId="6DDD90BD"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签发</w:t>
            </w:r>
            <w:r>
              <w:rPr>
                <w:rFonts w:ascii="Times New Roman" w:hAnsi="Times New Roman" w:eastAsia="宋体"/>
                <w:b w:val="0"/>
                <w:color w:val="000000"/>
                <w:sz w:val="18"/>
              </w:rPr>
              <w:t xml:space="preserve"> MSIS</w:t>
            </w:r>
          </w:p>
        </w:tc>
        <w:tc>
          <w:tcPr>
            <w:tcW w:w="1241" w:type="dxa"/>
            <w:vAlign w:val="center"/>
            <w:tcMar>
              <w:top w:w="25" w:type="dxa"/>
              <w:bottom w:w="25" w:type="dxa"/>
              <w:left w:w="25" w:type="dxa"/>
              <w:right w:w="25" w:type="dxa"/>
            </w:tcMar>
          </w:tcPr>
          <w:p w14:paraId="680681AB"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1.0043951</w:t>
            </w:r>
          </w:p>
        </w:tc>
        <w:tc>
          <w:tcPr>
            <w:tcW w:w="701" w:type="dxa"/>
            <w:vAlign w:val="center"/>
            <w:tcMar>
              <w:top w:w="25" w:type="dxa"/>
              <w:bottom w:w="25" w:type="dxa"/>
              <w:left w:w="25" w:type="dxa"/>
              <w:right w:w="25" w:type="dxa"/>
            </w:tcMar>
          </w:tcPr>
          <w:p w14:paraId="5CA9633F"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347</w:t>
            </w:r>
          </w:p>
        </w:tc>
        <w:tc>
          <w:tcPr>
            <w:tcW w:w="1780" w:type="dxa"/>
            <w:vAlign w:val="center"/>
            <w:tcMar>
              <w:top w:w="25" w:type="dxa"/>
              <w:bottom w:w="25" w:type="dxa"/>
              <w:left w:w="25" w:type="dxa"/>
              <w:right w:w="25" w:type="dxa"/>
            </w:tcMar>
          </w:tcPr>
          <w:p w14:paraId="695157D4"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101.324 / 91.955</w:t>
            </w:r>
          </w:p>
        </w:tc>
        <w:tc>
          <w:tcPr>
            <w:tcW w:w="2858" w:type="dxa"/>
            <w:vAlign w:val="center"/>
            <w:tcMar>
              <w:top w:w="25" w:type="dxa"/>
              <w:bottom w:w="25" w:type="dxa"/>
              <w:left w:w="25" w:type="dxa"/>
              <w:right w:w="25" w:type="dxa"/>
            </w:tcMar>
          </w:tcPr>
          <w:p w14:paraId="70A34817"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通用子维度</w:t>
            </w:r>
            <w:r>
              <w:rPr>
                <w:rFonts w:ascii="Times New Roman" w:hAnsi="Times New Roman" w:eastAsia="宋体"/>
                <w:b w:val="0"/>
                <w:color w:val="000000"/>
                <w:sz w:val="18"/>
              </w:rPr>
              <w:t xml:space="preserve"> GSA</w:t>
            </w:r>
          </w:p>
        </w:tc>
      </w:tr>
      <w:tr w:rsidR="00223A64" w14:paraId="1A9742A7" w14:textId="77777777">
        <w:trPr>
          <w:cantSplit/>
          <w:jc w:val="center"/>
          <w:cantSplit/>
        </w:trPr>
        <w:tc>
          <w:tcPr>
            <w:tcW w:w="1726" w:type="dxa"/>
            <w:vAlign w:val="center"/>
            <w:tcMar>
              <w:top w:w="25" w:type="dxa"/>
              <w:bottom w:w="25" w:type="dxa"/>
              <w:left w:w="25" w:type="dxa"/>
              <w:right w:w="25" w:type="dxa"/>
            </w:tcMar>
          </w:tcPr>
          <w:p w14:paraId="115B400D"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签发</w:t>
            </w:r>
            <w:r>
              <w:rPr>
                <w:rFonts w:ascii="Times New Roman" w:hAnsi="Times New Roman" w:eastAsia="宋体"/>
                <w:b w:val="0"/>
                <w:color w:val="000000"/>
                <w:sz w:val="18"/>
              </w:rPr>
              <w:t xml:space="preserve"> MLWE</w:t>
            </w:r>
          </w:p>
        </w:tc>
        <w:tc>
          <w:tcPr>
            <w:tcW w:w="1241" w:type="dxa"/>
            <w:vAlign w:val="center"/>
            <w:tcMar>
              <w:top w:w="25" w:type="dxa"/>
              <w:bottom w:w="25" w:type="dxa"/>
              <w:left w:w="25" w:type="dxa"/>
              <w:right w:w="25" w:type="dxa"/>
            </w:tcMar>
          </w:tcPr>
          <w:p w14:paraId="74B4FB66"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1.0043734</w:t>
            </w:r>
          </w:p>
        </w:tc>
        <w:tc>
          <w:tcPr>
            <w:tcW w:w="701" w:type="dxa"/>
            <w:vAlign w:val="center"/>
            <w:tcMar>
              <w:top w:w="25" w:type="dxa"/>
              <w:bottom w:w="25" w:type="dxa"/>
              <w:left w:w="25" w:type="dxa"/>
              <w:right w:w="25" w:type="dxa"/>
            </w:tcMar>
          </w:tcPr>
          <w:p w14:paraId="5E1D7F99"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350</w:t>
            </w:r>
          </w:p>
        </w:tc>
        <w:tc>
          <w:tcPr>
            <w:tcW w:w="1780" w:type="dxa"/>
            <w:vAlign w:val="center"/>
            <w:tcMar>
              <w:top w:w="25" w:type="dxa"/>
              <w:bottom w:w="25" w:type="dxa"/>
              <w:left w:w="25" w:type="dxa"/>
              <w:right w:w="25" w:type="dxa"/>
            </w:tcMar>
          </w:tcPr>
          <w:p w14:paraId="2CB5010D"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102.200 / 92.750</w:t>
            </w:r>
          </w:p>
        </w:tc>
        <w:tc>
          <w:tcPr>
            <w:tcW w:w="2858" w:type="dxa"/>
            <w:vAlign w:val="center"/>
            <w:tcMar>
              <w:top w:w="25" w:type="dxa"/>
              <w:bottom w:w="25" w:type="dxa"/>
              <w:left w:w="25" w:type="dxa"/>
              <w:right w:w="25" w:type="dxa"/>
            </w:tcMar>
          </w:tcPr>
          <w:p w14:paraId="36F61BDA"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primal-</w:t>
            </w:r>
            <w:proofErr w:type="spellStart"/>
            <w:r>
              <w:rPr>
                <w:rFonts w:ascii="Times New Roman" w:hAnsi="Times New Roman" w:eastAsia="宋体"/>
                <w:b w:val="0"/>
                <w:color w:val="000000"/>
                <w:sz w:val="18"/>
              </w:rPr>
              <w:t>uSVP</w:t>
            </w:r>
            <w:proofErr w:type="spellEnd"/>
            <w:r>
              <w:rPr>
                <w:rFonts w:ascii="Times New Roman" w:hAnsi="Times New Roman" w:eastAsia="宋体"/>
                <w:b w:val="0"/>
                <w:color w:val="000000"/>
                <w:sz w:val="18"/>
              </w:rPr>
              <w:t>；</w:t>
            </w:r>
            <w:r>
              <w:rPr>
                <w:rFonts w:ascii="Times New Roman" w:hAnsi="Times New Roman" w:eastAsia="宋体"/>
                <w:b w:val="0"/>
                <w:color w:val="000000"/>
                <w:sz w:val="18"/>
              </w:rPr>
              <w:t>GSA</w:t>
            </w:r>
          </w:p>
        </w:tc>
      </w:tr>
      <w:tr w:rsidR="00223A64" w14:paraId="02C0694B" w14:textId="77777777">
        <w:trPr>
          <w:cantSplit/>
          <w:jc w:val="center"/>
          <w:cantSplit/>
        </w:trPr>
        <w:tc>
          <w:tcPr>
            <w:tcW w:w="1726" w:type="dxa"/>
            <w:vAlign w:val="center"/>
            <w:tcMar>
              <w:top w:w="25" w:type="dxa"/>
              <w:bottom w:w="25" w:type="dxa"/>
              <w:left w:w="25" w:type="dxa"/>
              <w:right w:w="25" w:type="dxa"/>
            </w:tcMar>
          </w:tcPr>
          <w:p w14:paraId="37E4CCF2"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出示</w:t>
            </w:r>
            <w:r>
              <w:rPr>
                <w:rFonts w:ascii="Times New Roman" w:hAnsi="Times New Roman" w:eastAsia="宋体"/>
                <w:b w:val="0"/>
                <w:color w:val="000000"/>
                <w:sz w:val="18"/>
              </w:rPr>
              <w:t xml:space="preserve"> MSIS </w:t>
            </w:r>
            <w:r>
              <w:rPr>
                <w:rFonts w:ascii="Times New Roman" w:hAnsi="Times New Roman" w:eastAsia="宋体"/>
                <w:b w:val="0"/>
                <w:color w:val="000000"/>
                <w:sz w:val="18"/>
              </w:rPr>
              <w:t>填充</w:t>
            </w:r>
          </w:p>
        </w:tc>
        <w:tc>
          <w:tcPr>
            <w:tcW w:w="1241" w:type="dxa"/>
            <w:vAlign w:val="center"/>
            <w:tcMar>
              <w:top w:w="25" w:type="dxa"/>
              <w:bottom w:w="25" w:type="dxa"/>
              <w:left w:w="25" w:type="dxa"/>
              <w:right w:w="25" w:type="dxa"/>
            </w:tcMar>
          </w:tcPr>
          <w:p w14:paraId="5F97364E"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1.0043793</w:t>
            </w:r>
          </w:p>
        </w:tc>
        <w:tc>
          <w:tcPr>
            <w:tcW w:w="701" w:type="dxa"/>
            <w:vAlign w:val="center"/>
            <w:tcMar>
              <w:top w:w="25" w:type="dxa"/>
              <w:bottom w:w="25" w:type="dxa"/>
              <w:left w:w="25" w:type="dxa"/>
              <w:right w:w="25" w:type="dxa"/>
            </w:tcMar>
          </w:tcPr>
          <w:p w14:paraId="470B38BC"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349</w:t>
            </w:r>
          </w:p>
        </w:tc>
        <w:tc>
          <w:tcPr>
            <w:tcW w:w="1780" w:type="dxa"/>
            <w:vAlign w:val="center"/>
            <w:tcMar>
              <w:top w:w="25" w:type="dxa"/>
              <w:bottom w:w="25" w:type="dxa"/>
              <w:left w:w="25" w:type="dxa"/>
              <w:right w:w="25" w:type="dxa"/>
            </w:tcMar>
          </w:tcPr>
          <w:p w14:paraId="148C5B71"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101.908 / 92.485</w:t>
            </w:r>
          </w:p>
        </w:tc>
        <w:tc>
          <w:tcPr>
            <w:tcW w:w="2858" w:type="dxa"/>
            <w:vAlign w:val="center"/>
            <w:tcMar>
              <w:top w:w="25" w:type="dxa"/>
              <w:bottom w:w="25" w:type="dxa"/>
              <w:left w:w="25" w:type="dxa"/>
              <w:right w:w="25" w:type="dxa"/>
            </w:tcMar>
          </w:tcPr>
          <w:p w14:paraId="679CBB0A"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修正基线</w:t>
            </w:r>
            <w:r>
              <w:rPr>
                <w:rFonts w:ascii="Times New Roman" w:hAnsi="Times New Roman" w:eastAsia="宋体"/>
                <w:b w:val="0"/>
                <w:color w:val="000000"/>
                <w:sz w:val="18"/>
              </w:rPr>
              <w:t>/</w:t>
            </w:r>
            <w:r>
              <w:rPr>
                <w:rFonts w:ascii="Times New Roman" w:hAnsi="Times New Roman" w:eastAsia="宋体"/>
                <w:b w:val="0"/>
                <w:color w:val="000000"/>
                <w:sz w:val="18"/>
              </w:rPr>
              <w:t>填充优化；</w:t>
            </w:r>
            <m:oMath>
              <m:r>
                <m:rPr>
                  <m:sty/>
                </m:rPr>
                <w:rPr>
                  <w:rFonts w:ascii="Cambria Math" w:eastAsia="Cambria Math" w:hAnsi="Cambria Math" w:cs="Cambria Math"/>
                  <w:sz w:val="20"/>
                  <w:szCs w:val="20"/>
                </w:rPr>
                <m:t>k=3</m:t>
              </m:r>
            </m:oMath>
            <w:r>
              <w:rPr>
                <w:rFonts w:ascii="Times New Roman" w:hAnsi="Times New Roman" w:eastAsia="宋体"/>
                <w:b w:val="0"/>
                <w:color w:val="000000"/>
                <w:sz w:val="18"/>
              </w:rPr>
              <w:t>任务</w:t>
            </w:r>
          </w:p>
        </w:tc>
      </w:tr>
      <w:tr w:rsidR="00223A64" w14:paraId="485E5DF7" w14:textId="77777777">
        <w:trPr>
          <w:cantSplit/>
          <w:jc w:val="center"/>
          <w:cantSplit/>
        </w:trPr>
        <w:tc>
          <w:tcPr>
            <w:tcW w:w="1726" w:type="dxa"/>
            <w:vAlign w:val="center"/>
            <w:tcMar>
              <w:top w:w="25" w:type="dxa"/>
              <w:bottom w:w="25" w:type="dxa"/>
              <w:left w:w="25" w:type="dxa"/>
              <w:right w:w="25" w:type="dxa"/>
            </w:tcMar>
          </w:tcPr>
          <w:p w14:paraId="2A9422FC"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出示</w:t>
            </w:r>
            <w:r>
              <w:rPr>
                <w:rFonts w:ascii="Times New Roman" w:hAnsi="Times New Roman" w:eastAsia="宋体"/>
                <w:b w:val="0"/>
                <w:color w:val="000000"/>
                <w:sz w:val="18"/>
              </w:rPr>
              <w:t xml:space="preserve"> MSIS </w:t>
            </w:r>
            <w:r>
              <w:rPr>
                <w:rFonts w:ascii="Times New Roman" w:hAnsi="Times New Roman" w:eastAsia="宋体"/>
                <w:b w:val="0"/>
                <w:color w:val="000000"/>
                <w:sz w:val="18"/>
              </w:rPr>
              <w:t>紧致</w:t>
            </w:r>
          </w:p>
        </w:tc>
        <w:tc>
          <w:tcPr>
            <w:tcW w:w="1241" w:type="dxa"/>
            <w:vAlign w:val="center"/>
            <w:tcMar>
              <w:top w:w="25" w:type="dxa"/>
              <w:bottom w:w="25" w:type="dxa"/>
              <w:left w:w="25" w:type="dxa"/>
              <w:right w:w="25" w:type="dxa"/>
            </w:tcMar>
          </w:tcPr>
          <w:p w14:paraId="100EF4FE"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1.0043707</w:t>
            </w:r>
          </w:p>
        </w:tc>
        <w:tc>
          <w:tcPr>
            <w:tcW w:w="701" w:type="dxa"/>
            <w:vAlign w:val="center"/>
            <w:tcMar>
              <w:top w:w="25" w:type="dxa"/>
              <w:bottom w:w="25" w:type="dxa"/>
              <w:left w:w="25" w:type="dxa"/>
              <w:right w:w="25" w:type="dxa"/>
            </w:tcMar>
          </w:tcPr>
          <w:p w14:paraId="28D97DC8"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350</w:t>
            </w:r>
          </w:p>
        </w:tc>
        <w:tc>
          <w:tcPr>
            <w:tcW w:w="1780" w:type="dxa"/>
            <w:vAlign w:val="center"/>
            <w:tcMar>
              <w:top w:w="25" w:type="dxa"/>
              <w:bottom w:w="25" w:type="dxa"/>
              <w:left w:w="25" w:type="dxa"/>
              <w:right w:w="25" w:type="dxa"/>
            </w:tcMar>
          </w:tcPr>
          <w:p w14:paraId="3ABB1C67"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102.200 / 92.750</w:t>
            </w:r>
          </w:p>
        </w:tc>
        <w:tc>
          <w:tcPr>
            <w:tcW w:w="2858" w:type="dxa"/>
            <w:vAlign w:val="center"/>
            <w:tcMar>
              <w:top w:w="25" w:type="dxa"/>
              <w:bottom w:w="25" w:type="dxa"/>
              <w:left w:w="25" w:type="dxa"/>
              <w:right w:w="25" w:type="dxa"/>
            </w:tcMar>
          </w:tcPr>
          <w:p w14:paraId="373D5E7B"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紧致优化；</w:t>
            </w:r>
            <m:oMath>
              <m:r>
                <m:rPr>
                  <m:sty/>
                </m:rPr>
                <w:rPr>
                  <w:rFonts w:ascii="Cambria Math" w:eastAsia="Cambria Math" w:hAnsi="Cambria Math" w:cs="Cambria Math"/>
                  <w:sz w:val="20"/>
                  <w:szCs w:val="20"/>
                </w:rPr>
                <m:t>k=3</m:t>
              </m:r>
            </m:oMath>
          </w:p>
        </w:tc>
      </w:tr>
      <w:tr w:rsidR="00223A64" w14:paraId="698CD132" w14:textId="77777777">
        <w:trPr>
          <w:cantSplit/>
          <w:jc w:val="center"/>
          <w:cantSplit/>
        </w:trPr>
        <w:tc>
          <w:tcPr>
            <w:tcW w:w="1726" w:type="dxa"/>
            <w:vAlign w:val="center"/>
            <w:tcMar>
              <w:top w:w="25" w:type="dxa"/>
              <w:bottom w:w="25" w:type="dxa"/>
              <w:left w:w="25" w:type="dxa"/>
              <w:right w:w="25" w:type="dxa"/>
            </w:tcMar>
          </w:tcPr>
          <w:p w14:paraId="674798EE"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出示</w:t>
            </w:r>
            <w:r>
              <w:rPr>
                <w:rFonts w:ascii="Times New Roman" w:hAnsi="Times New Roman" w:eastAsia="宋体"/>
                <w:b w:val="0"/>
                <w:color w:val="000000"/>
                <w:sz w:val="18"/>
              </w:rPr>
              <w:t xml:space="preserve"> MLWE</w:t>
            </w:r>
          </w:p>
        </w:tc>
        <w:tc>
          <w:tcPr>
            <w:tcW w:w="1241" w:type="dxa"/>
            <w:vAlign w:val="center"/>
            <w:tcMar>
              <w:top w:w="25" w:type="dxa"/>
              <w:bottom w:w="25" w:type="dxa"/>
              <w:left w:w="25" w:type="dxa"/>
              <w:right w:w="25" w:type="dxa"/>
            </w:tcMar>
          </w:tcPr>
          <w:p w14:paraId="40C2D840"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1.0043146</w:t>
            </w:r>
          </w:p>
        </w:tc>
        <w:tc>
          <w:tcPr>
            <w:tcW w:w="701" w:type="dxa"/>
            <w:vAlign w:val="center"/>
            <w:tcMar>
              <w:top w:w="25" w:type="dxa"/>
              <w:bottom w:w="25" w:type="dxa"/>
              <w:left w:w="25" w:type="dxa"/>
              <w:right w:w="25" w:type="dxa"/>
            </w:tcMar>
          </w:tcPr>
          <w:p w14:paraId="0DEED769"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356</w:t>
            </w:r>
          </w:p>
        </w:tc>
        <w:tc>
          <w:tcPr>
            <w:tcW w:w="1780" w:type="dxa"/>
            <w:vAlign w:val="center"/>
            <w:tcMar>
              <w:top w:w="25" w:type="dxa"/>
              <w:bottom w:w="25" w:type="dxa"/>
              <w:left w:w="25" w:type="dxa"/>
              <w:right w:w="25" w:type="dxa"/>
            </w:tcMar>
          </w:tcPr>
          <w:p w14:paraId="1ECA878D"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103.952 / 94.340</w:t>
            </w:r>
          </w:p>
        </w:tc>
        <w:tc>
          <w:tcPr>
            <w:tcW w:w="2858" w:type="dxa"/>
            <w:vAlign w:val="center"/>
            <w:tcMar>
              <w:top w:w="25" w:type="dxa"/>
              <w:bottom w:w="25" w:type="dxa"/>
              <w:left w:w="25" w:type="dxa"/>
              <w:right w:w="25" w:type="dxa"/>
            </w:tcMar>
          </w:tcPr>
          <w:p w14:paraId="5ABEECBC"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所列表配置</w:t>
            </w:r>
          </w:p>
        </w:tc>
      </w:tr>
      <w:tr w:rsidR="00223A64" w14:paraId="3BC84CB6" w14:textId="77777777">
        <w:trPr>
          <w:cantSplit/>
          <w:jc w:val="center"/>
          <w:cantSplit/>
        </w:trPr>
        <w:tc>
          <w:tcPr>
            <w:tcW w:w="1726" w:type="dxa"/>
            <w:tcBorders>
              <w:bottom w:val="single" w:sz="8" w:space="0" w:color="000000"/>
            </w:tcBorders>
            <w:vAlign w:val="center"/>
            <w:tcMar>
              <w:top w:w="25" w:type="dxa"/>
              <w:bottom w:w="25" w:type="dxa"/>
              <w:left w:w="25" w:type="dxa"/>
              <w:right w:w="25" w:type="dxa"/>
            </w:tcMar>
          </w:tcPr>
          <w:p w14:paraId="5A425064"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Falcon </w:t>
            </w:r>
            <w:r>
              <w:rPr>
                <w:rFonts w:ascii="Times New Roman" w:hAnsi="Times New Roman" w:eastAsia="宋体"/>
                <w:b w:val="0"/>
                <w:color w:val="000000"/>
                <w:sz w:val="18"/>
              </w:rPr>
              <w:t>原像代理</w:t>
            </w:r>
          </w:p>
        </w:tc>
        <w:tc>
          <w:tcPr>
            <w:tcW w:w="1241" w:type="dxa"/>
            <w:tcBorders>
              <w:bottom w:val="single" w:sz="8" w:space="0" w:color="000000"/>
            </w:tcBorders>
            <w:vAlign w:val="center"/>
            <w:tcMar>
              <w:top w:w="25" w:type="dxa"/>
              <w:bottom w:w="25" w:type="dxa"/>
              <w:left w:w="25" w:type="dxa"/>
              <w:right w:w="25" w:type="dxa"/>
            </w:tcMar>
          </w:tcPr>
          <w:p w14:paraId="3D12F561"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1.0038778</w:t>
            </w:r>
          </w:p>
        </w:tc>
        <w:tc>
          <w:tcPr>
            <w:tcW w:w="701" w:type="dxa"/>
            <w:tcBorders>
              <w:bottom w:val="single" w:sz="8" w:space="0" w:color="000000"/>
            </w:tcBorders>
            <w:vAlign w:val="center"/>
            <w:tcMar>
              <w:top w:w="25" w:type="dxa"/>
              <w:bottom w:w="25" w:type="dxa"/>
              <w:left w:w="25" w:type="dxa"/>
              <w:right w:w="25" w:type="dxa"/>
            </w:tcMar>
          </w:tcPr>
          <w:p w14:paraId="1B5C570B"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416</w:t>
            </w:r>
          </w:p>
        </w:tc>
        <w:tc>
          <w:tcPr>
            <w:tcW w:w="1780" w:type="dxa"/>
            <w:tcBorders>
              <w:bottom w:val="single" w:sz="8" w:space="0" w:color="000000"/>
            </w:tcBorders>
            <w:vAlign w:val="center"/>
            <w:tcMar>
              <w:top w:w="25" w:type="dxa"/>
              <w:bottom w:w="25" w:type="dxa"/>
              <w:left w:w="25" w:type="dxa"/>
              <w:right w:w="25" w:type="dxa"/>
            </w:tcMar>
          </w:tcPr>
          <w:p w14:paraId="4083FB71"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121.472 / 110.240</w:t>
            </w:r>
          </w:p>
        </w:tc>
        <w:tc>
          <w:tcPr>
            <w:tcW w:w="2858" w:type="dxa"/>
            <w:tcBorders>
              <w:bottom w:val="single" w:sz="8" w:space="0" w:color="000000"/>
            </w:tcBorders>
            <w:vAlign w:val="center"/>
            <w:tcMar>
              <w:top w:w="25" w:type="dxa"/>
              <w:bottom w:w="25" w:type="dxa"/>
              <w:left w:w="25" w:type="dxa"/>
              <w:right w:w="25" w:type="dxa"/>
            </w:tcMar>
          </w:tcPr>
          <w:p w14:paraId="2251EB9B"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不含辅助原像归约</w:t>
            </w:r>
          </w:p>
        </w:tc>
      </w:tr>
    </w:tbl>
    <w:p>
      <w:pPr>
        <w:keepNext/>
        <w:spacing w:after="40" w:before="120" w:line="276" w:lineRule="auto"/>
        <w:widowControl/>
        <w:snapToGrid w:val="0"/>
      </w:pPr>
      <w:r>
        <w:rPr>
          <w:b/>
          <w:sz w:val="22"/>
        </w:rPr>
        <w:t>表</w:t>
      </w:r>
      <w:bookmarkStart w:id="15" w:name="stblS8"/>
      <w:r>
        <w:rPr>
          <w:b/>
          <w:sz w:val="22"/>
        </w:rPr>
        <w:t>S8</w:t>
      </w:r>
      <w:bookmarkEnd w:id="15"/>
      <w:r>
        <w:rPr>
          <w:b/>
          <w:sz w:val="22"/>
        </w:rPr>
        <w:t xml:space="preserve"> 全披露数的单项出示MSIS重算</w:t>
      </w:r>
    </w:p>
    <w:tbl>
      <w:tblPr>
        <w:jc w:val="center"/>
        <w:tblLayout w:type="fixed"/>
        <w:tblLook w:firstColumn="1" w:firstRow="1" w:lastColumn="0" w:lastRow="0" w:noHBand="0" w:noVBand="1" w:val="04A0"/>
        <w:tblW w:type="dxa" w:w="8306"/>
        <w:tblBorders>
          <w:top w:val="single" w:sz="6" w:color="000000"/>
          <w:bottom w:val="single" w:sz="6" w:color="000000"/>
          <w:left w:val="nil" w:sz="6" w:color="000000"/>
          <w:right w:val="nil" w:sz="6" w:color="000000"/>
          <w:insideH w:val="nil" w:sz="6" w:color="000000"/>
          <w:insideV w:val="nil" w:sz="6" w:color="000000"/>
        </w:tblBorders>
      </w:tblPr>
      <w:tblGrid>
        <w:gridCol w:w="400"/>
        <w:gridCol w:w="1700"/>
        <w:gridCol w:w="1700"/>
        <w:gridCol w:w="900"/>
        <w:gridCol w:w="3606"/>
      </w:tblGrid>
      <w:tr>
        <w:trPr>
          <w:cantSplit/>
          <w:tblHeader/>
          <w:tblHeader/>
          <w:cantSplit/>
          <w:tblHeader/>
          <w:cantSplit/>
          <w:tblHeader/>
          <w:tblHeader/>
        </w:trPr>
        <w:tc>
          <w:tcPr>
            <w:tcW w:type="dxa" w:w="400"/>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k/个</w:t>
            </w:r>
          </w:p>
        </w:tc>
        <w:tc>
          <w:tcPr>
            <w:tcW w:type="dxa" w:w="1700"/>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r>
            <m:oMath>
              <m:sSub>
                <m:e>
                  <m:r>
                    <m:rPr>
                      <m:sty m:val="p"/>
                    </m:rPr>
                    <w:rPr>
                      <w:rFonts w:ascii="Cambria Math" w:hAnsi="Cambria Math" w:eastAsia="Cambria Math" w:cs="Cambria Math"/>
                      <w:sz w:val="20"/>
                      <w:i w:val="0"/>
                    </w:rPr>
                    <m:t>log</m:t>
                  </m:r>
                </m:e>
                <m:sub>
                  <m:r>
                    <m:rPr>
                      <m:sty m:val="p"/>
                    </m:rPr>
                    <w:rPr>
                      <w:rFonts w:ascii="Cambria Math" w:hAnsi="Cambria Math" w:eastAsia="Cambria Math" w:cs="Cambria Math"/>
                      <w:sz w:val="20"/>
                    </w:rPr>
                    <m:t>2</m:t>
                  </m:r>
                </m:sub>
              </m:sSub>
              <m:r>
                <m:rPr>
                  <m:sty m:val="i"/>
                </m:rPr>
                <w:rPr>
                  <w:rFonts w:ascii="Cambria Math" w:hAnsi="Cambria Math" w:eastAsia="Cambria Math" w:cs="Cambria Math"/>
                  <w:sz w:val="20"/>
                </w:rPr>
                <m:t>B</m:t>
              </m:r>
            </m:oMath>
            <w:r>
              <w:rPr>
                <w:rFonts w:ascii="Times New Roman" w:hAnsi="Times New Roman" w:eastAsia="宋体"/>
                <w:b/>
                <w:color w:val="000000"/>
                <w:sz w:val="18"/>
              </w:rPr>
              <w:t>/1</w:t>
            </w:r>
          </w:p>
        </w:tc>
        <w:tc>
          <w:tcPr>
            <w:tcW w:type="dxa" w:w="1700"/>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r>
            <m:oMath>
              <m:sSub>
                <m:e>
                  <m:r>
                    <m:rPr>
                      <m:sty m:val="i"/>
                    </m:rPr>
                    <w:rPr>
                      <w:rFonts w:ascii="Cambria Math" w:hAnsi="Cambria Math" w:eastAsia="Cambria Math" w:cs="Cambria Math"/>
                      <w:sz w:val="20"/>
                    </w:rPr>
                    <m:t>δ</m:t>
                  </m:r>
                </m:e>
                <m:sub>
                  <m:r>
                    <m:rPr>
                      <m:sty m:val="p"/>
                    </m:rPr>
                    <w:rPr>
                      <w:rFonts w:ascii="Cambria Math" w:hAnsi="Cambria Math" w:eastAsia="Cambria Math" w:cs="Cambria Math"/>
                      <w:sz w:val="20"/>
                    </w:rPr>
                    <m:t>0</m:t>
                  </m:r>
                </m:sub>
              </m:sSub>
            </m:oMath>
            <w:r>
              <w:rPr>
                <w:rFonts w:ascii="Times New Roman" w:hAnsi="Times New Roman" w:eastAsia="宋体"/>
                <w:b/>
                <w:color w:val="000000"/>
                <w:sz w:val="18"/>
              </w:rPr>
              <w:t>/1</w:t>
            </w:r>
          </w:p>
        </w:tc>
        <w:tc>
          <w:tcPr>
            <w:tcW w:type="dxa" w:w="900"/>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r>
            <m:oMath>
              <m:r>
                <m:rPr>
                  <m:sty m:val="i"/>
                </m:rPr>
                <w:rPr>
                  <w:rFonts w:ascii="Cambria Math" w:hAnsi="Cambria Math" w:eastAsia="Cambria Math" w:cs="Cambria Math"/>
                  <w:sz w:val="20"/>
                </w:rPr>
                <m:t>β</m:t>
              </m:r>
            </m:oMath>
            <w:r>
              <w:rPr>
                <w:rFonts w:ascii="Times New Roman" w:hAnsi="Times New Roman" w:eastAsia="宋体"/>
                <w:b/>
                <w:color w:val="000000"/>
                <w:sz w:val="18"/>
              </w:rPr>
              <w:t>/1</w:t>
            </w:r>
          </w:p>
        </w:tc>
        <w:tc>
          <w:tcPr>
            <w:tcW w:type="dxa" w:w="3606"/>
            <w:vAlign w:val="center"/>
            <w:tcMar>
              <w:top w:w="35" w:type="dxa"/>
              <w:bottom w:w="35" w:type="dxa"/>
              <w:left w:w="25" w:type="dxa"/>
              <w:right w:w="25" w:type="dxa"/>
              <w:top w:w="25" w:type="dxa"/>
              <w:bottom w:w="25" w:type="dxa"/>
              <w:left w:w="25" w:type="dxa"/>
              <w:right w:w="25" w:type="dxa"/>
            </w:tcMar>
            <w:tcBorders>
              <w:top w:val="single" w:sz="8" w:color="000000"/>
              <w:left w:val="nil" w:sz="8" w:color="000000"/>
              <w:right w:val="nil" w:sz="8" w:color="000000"/>
              <w:bottom w:val="single" w:sz="6" w:color="000000"/>
              <w:bottom w:val="single" w:sz="5"/>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r>
            <w:r>
              <w:rPr>
                <w:rFonts w:ascii="Times New Roman" w:hAnsi="Times New Roman" w:eastAsia="宋体"/>
                <w:b/>
                <w:color w:val="000000"/>
                <w:sz w:val="18"/>
              </w:rPr>
              <w:t>经典/量子</w:t>
            </w:r>
            <m:oMath>
              <m:sSub>
                <m:e>
                  <m:r>
                    <m:rPr>
                      <m:sty m:val="p"/>
                    </m:rPr>
                    <w:rPr>
                      <w:rFonts w:ascii="Cambria Math" w:hAnsi="Cambria Math" w:eastAsia="Cambria Math" w:cs="Cambria Math"/>
                      <w:sz w:val="20"/>
                      <w:i w:val="0"/>
                    </w:rPr>
                    <m:t>log</m:t>
                  </m:r>
                </m:e>
                <m:sub>
                  <m:r>
                    <m:rPr>
                      <m:sty m:val="p"/>
                    </m:rPr>
                    <w:rPr>
                      <w:rFonts w:ascii="Cambria Math" w:hAnsi="Cambria Math" w:eastAsia="Cambria Math" w:cs="Cambria Math"/>
                      <w:sz w:val="20"/>
                    </w:rPr>
                    <m:t>2</m:t>
                  </m:r>
                </m:sub>
              </m:sSub>
            </m:oMath>
            <w:r>
              <w:rPr>
                <w:rFonts w:ascii="Times New Roman" w:hAnsi="Times New Roman" w:eastAsia="宋体"/>
                <w:b/>
                <w:color w:val="000000"/>
                <w:sz w:val="18"/>
              </w:rPr>
              <w:t>成本/1</w:t>
            </w:r>
          </w:p>
        </w:tc>
      </w:tr>
      <w:tr>
        <w:trPr>
          <w:cantSplit/>
          <w:cantSplit/>
          <w:cantSplit/>
        </w:trPr>
        <w:tc>
          <w:tcPr>
            <w:tcW w:type="dxa" w:w="4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0</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40.173114</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1.0043793</w:t>
            </w:r>
          </w:p>
        </w:tc>
        <w:tc>
          <w:tcPr>
            <w:tcW w:type="dxa" w:w="9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349</w:t>
            </w:r>
          </w:p>
        </w:tc>
        <w:tc>
          <w:tcPr>
            <w:tcW w:type="dxa" w:w="3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101.908 / 92.485</w:t>
            </w:r>
          </w:p>
        </w:tc>
      </w:tr>
      <w:tr>
        <w:trPr>
          <w:cantSplit/>
          <w:cantSplit/>
          <w:cantSplit/>
        </w:trPr>
        <w:tc>
          <w:tcPr>
            <w:tcW w:type="dxa" w:w="4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40.160259</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1.0043765</w:t>
            </w:r>
          </w:p>
        </w:tc>
        <w:tc>
          <w:tcPr>
            <w:tcW w:type="dxa" w:w="9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349</w:t>
            </w:r>
          </w:p>
        </w:tc>
        <w:tc>
          <w:tcPr>
            <w:tcW w:type="dxa" w:w="3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101.908 / 92.485</w:t>
            </w:r>
          </w:p>
        </w:tc>
      </w:tr>
      <w:tr>
        <w:trPr>
          <w:cantSplit/>
          <w:cantSplit/>
          <w:cantSplit/>
        </w:trPr>
        <w:tc>
          <w:tcPr>
            <w:tcW w:type="dxa" w:w="4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2</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40.147171</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1.0043736</w:t>
            </w:r>
          </w:p>
        </w:tc>
        <w:tc>
          <w:tcPr>
            <w:tcW w:type="dxa" w:w="9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349</w:t>
            </w:r>
          </w:p>
        </w:tc>
        <w:tc>
          <w:tcPr>
            <w:tcW w:type="dxa" w:w="3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101.908 / 92.485</w:t>
            </w:r>
          </w:p>
        </w:tc>
      </w:tr>
      <w:tr>
        <w:trPr>
          <w:cantSplit/>
          <w:cantSplit/>
          <w:cantSplit/>
        </w:trPr>
        <w:tc>
          <w:tcPr>
            <w:tcW w:type="dxa" w:w="4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3</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40.133841</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1.0043707</w:t>
            </w:r>
          </w:p>
        </w:tc>
        <w:tc>
          <w:tcPr>
            <w:tcW w:type="dxa" w:w="9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350</w:t>
            </w:r>
          </w:p>
        </w:tc>
        <w:tc>
          <w:tcPr>
            <w:tcW w:type="dxa" w:w="3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102.200 / 92.750</w:t>
            </w:r>
          </w:p>
        </w:tc>
      </w:tr>
      <w:tr>
        <w:trPr>
          <w:cantSplit/>
          <w:cantSplit/>
          <w:cantSplit/>
        </w:trPr>
        <w:tc>
          <w:tcPr>
            <w:tcW w:type="dxa" w:w="4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40.120260</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1.0043678</w:t>
            </w:r>
          </w:p>
        </w:tc>
        <w:tc>
          <w:tcPr>
            <w:tcW w:type="dxa" w:w="9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350</w:t>
            </w:r>
          </w:p>
        </w:tc>
        <w:tc>
          <w:tcPr>
            <w:tcW w:type="dxa" w:w="3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102.200 / 92.750</w:t>
            </w:r>
          </w:p>
        </w:tc>
      </w:tr>
      <w:tr>
        <w:trPr>
          <w:cantSplit/>
          <w:cantSplit/>
          <w:cantSplit/>
        </w:trPr>
        <w:tc>
          <w:tcPr>
            <w:tcW w:type="dxa" w:w="4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5</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40.106418</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1.0043647</w:t>
            </w:r>
          </w:p>
        </w:tc>
        <w:tc>
          <w:tcPr>
            <w:tcW w:type="dxa" w:w="9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351</w:t>
            </w:r>
          </w:p>
        </w:tc>
        <w:tc>
          <w:tcPr>
            <w:tcW w:type="dxa" w:w="3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102.492 / 93.015</w:t>
            </w:r>
          </w:p>
        </w:tc>
      </w:tr>
      <w:tr>
        <w:trPr>
          <w:cantSplit/>
          <w:cantSplit/>
          <w:cantSplit/>
        </w:trPr>
        <w:tc>
          <w:tcPr>
            <w:tcW w:type="dxa" w:w="4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6</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40.092305</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1.0043617</w:t>
            </w:r>
          </w:p>
        </w:tc>
        <w:tc>
          <w:tcPr>
            <w:tcW w:type="dxa" w:w="9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351</w:t>
            </w:r>
          </w:p>
        </w:tc>
        <w:tc>
          <w:tcPr>
            <w:tcW w:type="dxa" w:w="3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102.492 / 93.015</w:t>
            </w:r>
          </w:p>
        </w:tc>
      </w:tr>
      <w:tr>
        <w:trPr>
          <w:cantSplit/>
          <w:cantSplit/>
          <w:cantSplit/>
        </w:trPr>
        <w:tc>
          <w:tcPr>
            <w:tcW w:type="dxa" w:w="4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7</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40.077911</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1.0043585</w:t>
            </w:r>
          </w:p>
        </w:tc>
        <w:tc>
          <w:tcPr>
            <w:tcW w:type="dxa" w:w="9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351</w:t>
            </w:r>
          </w:p>
        </w:tc>
        <w:tc>
          <w:tcPr>
            <w:tcW w:type="dxa" w:w="3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nil"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102.492 / 93.015</w:t>
            </w:r>
          </w:p>
        </w:tc>
      </w:tr>
      <w:tr>
        <w:trPr>
          <w:cantSplit/>
          <w:cantSplit/>
          <w:cantSplit/>
        </w:trPr>
        <w:tc>
          <w:tcPr>
            <w:tcW w:type="dxa" w:w="4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8</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40.063224</w:t>
            </w:r>
          </w:p>
        </w:tc>
        <w:tc>
          <w:tcPr>
            <w:tcW w:type="dxa" w:w="17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1.0043553</w:t>
            </w:r>
          </w:p>
        </w:tc>
        <w:tc>
          <w:tcPr>
            <w:tcW w:type="dxa" w:w="900"/>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352</w:t>
            </w:r>
          </w:p>
        </w:tc>
        <w:tc>
          <w:tcPr>
            <w:tcW w:type="dxa" w:w="3606"/>
            <w:vAlign w:val="center"/>
            <w:tcMar>
              <w:top w:w="35" w:type="dxa"/>
              <w:bottom w:w="35" w:type="dxa"/>
              <w:left w:w="25" w:type="dxa"/>
              <w:right w:w="25" w:type="dxa"/>
              <w:top w:w="25" w:type="dxa"/>
              <w:bottom w:w="25" w:type="dxa"/>
              <w:left w:w="25" w:type="dxa"/>
              <w:right w:w="25" w:type="dxa"/>
            </w:tcMar>
            <w:tcBorders>
              <w:top w:val="nil" w:sz="8" w:color="000000"/>
              <w:left w:val="nil" w:sz="8" w:color="000000"/>
              <w:right w:val="nil" w:sz="8" w:color="000000"/>
              <w:bottom w:val="single" w:sz="8" w:color="000000"/>
            </w:tcBorders>
          </w:tcPr>
          <w:p>
            <w:pPr>
              <w:keepNext w:val="0"/>
              <w:keepLines w:val="0"/>
              <w:pageBreakBefore w:val="0"/>
              <w:widowControl/>
              <w:spacing w:before="0" w:after="0" w:line="276" w:lineRule="auto"/>
              <w:ind w:left="0" w:right="0" w:firstLine="0"/>
              <w:jc w:val="center"/>
              <w:snapToGrid w:val="0"/>
              <w:snapToGrid w:val="0"/>
            </w:pPr>
            <w:r>
              <w:rPr>
                <w:rFonts w:ascii="Times New Roman" w:hAnsi="Times New Roman" w:eastAsia="宋体" w:cs="Times New Roman"/>
                <w:color w:val="000000"/>
                <w:sz w:val="18"/>
                <w:szCs w:val="17"/>
                <w:b w:val="0"/>
              </w:rPr>
              <w:t>102.784 / 93.280</w:t>
            </w:r>
          </w:p>
        </w:tc>
      </w:tr>
    </w:tbl>
    <w:p>
      <w:pPr>
        <w:keepNext/>
        <w:spacing w:after="40" w:before="120" w:line="276" w:lineRule="auto"/>
        <w:widowControl/>
        <w:snapToGrid w:val="0"/>
      </w:pPr>
      <w:r>
        <w:rPr>
          <w:b/>
          <w:sz w:val="22"/>
        </w:rPr>
        <w:t xml:space="preserve">表</w:t>
      </w:r>
      <w:bookmarkStart w:id="16" w:name="stblS8a"/>
      <w:r>
        <w:rPr>
          <w:b/>
          <w:sz w:val="22"/>
        </w:rPr>
        <w:t>S8a</w:t>
      </w:r>
      <w:bookmarkEnd w:id="16"/>
      <w:r>
        <w:rPr>
          <w:b/>
          <w:sz w:val="22"/>
        </w:rPr>
        <w:t xml:space="preserve"> 参数字段与实例对应</w:t>
      </w:r>
    </w:p>
    <w:tbl>
      <w:tblPr>
        <w:tblW w:w="8306" w:type="dxa"/>
        <w:jc w:val="center"/>
        <w:tblLayout w:type="fixed"/>
        <w:tblCellMar>
          <w:top w:w="35" w:type="dxa"/>
          <w:left w:w="30" w:type="dxa"/>
          <w:bottom w:w="35" w:type="dxa"/>
          <w:right w:w="30" w:type="dxa"/>
        </w:tblCellMar>
        <w:tblLook w:val="04A0" w:firstRow="1" w:lastRow="0" w:firstColumn="1" w:lastColumn="0" w:noHBand="0" w:noVBand="1"/>
        <w:tblBorders>
          <w:top w:val="single" w:sz="6" w:color="000000"/>
          <w:bottom w:val="single" w:sz="6" w:color="000000"/>
          <w:left w:val="nil" w:sz="6" w:color="000000"/>
          <w:right w:val="nil" w:sz="6" w:color="000000"/>
          <w:insideH w:val="nil" w:sz="6" w:color="000000"/>
          <w:insideV w:val="nil" w:sz="6" w:color="000000"/>
        </w:tblBorders>
      </w:tblPr>
      <w:tblGrid>
        <w:gridCol w:w="1100"/>
        <w:gridCol w:w="1500"/>
        <w:gridCol w:w="1400"/>
        <w:gridCol w:w="2100"/>
        <w:gridCol w:w="2200"/>
      </w:tblGrid>
      <w:tr w:rsidR="00223A64" w14:paraId="34F31E48" w14:textId="77777777">
        <w:trPr>
          <w:cantSplit/>
          <w:tblHeader/>
          <w:jc w:val="center"/>
          <w:cantSplit/>
          <w:tblHeader/>
          <w:tblHeader/>
        </w:trPr>
        <w:tc>
          <w:tcPr>
            <w:tcW w:w="1100"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配置</w:t>
            </w:r>
          </w:p>
        </w:tc>
        <w:tc>
          <w:tcPr>
            <w:tcW w:w="1500"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应用与内部维度/1</w:t>
            </w:r>
          </w:p>
        </w:tc>
        <w:tc>
          <w:tcPr>
            <w:tcW w:w="1400"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n_bin与n_ex/1</w:t>
            </w:r>
          </w:p>
        </w:tc>
        <w:tc>
          <w:tcPr>
            <w:tcW w:w="2100"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范数平方界Bsq/1</w:t>
            </w:r>
          </w:p>
        </w:tc>
        <w:tc>
          <w:tcPr>
            <w:tcW w:w="2200" w:type="dxa"/>
            <w:tcBorders>
              <w:top w:val="single" w:sz="8" w:space="0" w:color="000000"/>
              <w:bottom w:val="single" w:sz="4" w:space="0" w:color="000000"/>
            </w:tcBorders>
            <w:vAlign w:val="center"/>
            <w:tcMar>
              <w:top w:w="25" w:type="dxa"/>
              <w:bottom w:w="25" w:type="dxa"/>
              <w:left w:w="25" w:type="dxa"/>
              <w:right w:w="25" w:type="dxa"/>
            </w:tcMar>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参数实例</w:t>
            </w:r>
          </w:p>
        </w:tc>
      </w:tr>
      <w:tr w:rsidR="00223A64" w14:paraId="43117FA9" w14:textId="77777777">
        <w:trPr>
          <w:cantSplit/>
          <w:jc w:val="center"/>
          <w:cantSplit/>
        </w:trPr>
        <w:tc>
          <w:tcPr>
            <w:tcW w:w="1100" w:type="dxa"/>
            <w:vAlign w:val="center"/>
            <w:tcMar>
              <w:top w:w="25" w:type="dxa"/>
              <w:bottom w:w="25" w:type="dxa"/>
              <w:left w:w="25" w:type="dxa"/>
              <w:right w:w="25" w:type="dxa"/>
            </w:tcMar>
          </w:tcPr>
          <w:p w14:paraId="6DDD90BD"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签发</w:t>
            </w:r>
          </w:p>
        </w:tc>
        <w:tc>
          <w:tcPr>
            <w:tcW w:w="1500" w:type="dxa"/>
            <w:vAlign w:val="center"/>
            <w:tcMar>
              <w:top w:w="25" w:type="dxa"/>
              <w:bottom w:w="25" w:type="dxa"/>
              <w:left w:w="25" w:type="dxa"/>
              <w:right w:w="25" w:type="dxa"/>
            </w:tcMar>
          </w:tcPr>
          <w:p w14:paraId="680681AB"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24 / 25</w:t>
            </w:r>
          </w:p>
        </w:tc>
        <w:tc>
          <w:tcPr>
            <w:tcW w:w="1400" w:type="dxa"/>
            <w:vAlign w:val="center"/>
            <w:tcMar>
              <w:top w:w="25" w:type="dxa"/>
              <w:bottom w:w="25" w:type="dxa"/>
              <w:left w:w="25" w:type="dxa"/>
              <w:right w:w="25" w:type="dxa"/>
            </w:tcMar>
          </w:tcPr>
          <w:p w14:paraId="5CA9633F"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8 / 25</w:t>
            </w:r>
          </w:p>
        </w:tc>
        <w:tc>
          <w:tcPr>
            <w:tcW w:w="2100" w:type="dxa"/>
            <w:vAlign w:val="center"/>
            <w:tcMar>
              <w:top w:w="25" w:type="dxa"/>
              <w:bottom w:w="25" w:type="dxa"/>
              <w:left w:w="25" w:type="dxa"/>
              <w:right w:w="25" w:type="dxa"/>
            </w:tcMar>
          </w:tcPr>
          <w:p w14:paraId="695157D4"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2958230480359</w:t>
            </w:r>
          </w:p>
        </w:tc>
        <w:tc>
          <w:tcPr>
            <w:tcW w:w="2200" w:type="dxa"/>
            <w:vAlign w:val="center"/>
            <w:tcMar>
              <w:top w:w="25" w:type="dxa"/>
              <w:bottom w:w="25" w:type="dxa"/>
              <w:left w:w="25" w:type="dxa"/>
              <w:right w:w="25" w:type="dxa"/>
            </w:tcMar>
          </w:tcPr>
          <w:p w14:paraId="70A34817"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p1_param</w:t>
            </w:r>
          </w:p>
        </w:tc>
      </w:tr>
      <w:tr w:rsidR="00223A64" w14:paraId="43117FA9" w14:textId="77777777">
        <w:trPr>
          <w:cantSplit/>
          <w:jc w:val="center"/>
          <w:cantSplit/>
        </w:trPr>
        <w:tc>
          <w:tcPr>
            <w:tcW w:w="1100" w:type="dxa"/>
            <w:vAlign w:val="center"/>
            <w:tcMar>
              <w:top w:w="25" w:type="dxa"/>
              <w:bottom w:w="25" w:type="dxa"/>
              <w:left w:w="25" w:type="dxa"/>
              <w:right w:w="25" w:type="dxa"/>
            </w:tcMar>
          </w:tcPr>
          <w:p w14:paraId="6DDD90BD"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填充出示</w:t>
            </w:r>
          </w:p>
        </w:tc>
        <w:tc>
          <w:tcPr>
            <w:tcW w:w="1500" w:type="dxa"/>
            <w:vAlign w:val="center"/>
            <w:tcMar>
              <w:top w:w="25" w:type="dxa"/>
              <w:bottom w:w="25" w:type="dxa"/>
              <w:left w:w="25" w:type="dxa"/>
              <w:right w:w="25" w:type="dxa"/>
            </w:tcMar>
          </w:tcPr>
          <w:p w14:paraId="680681AB"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48 / 50</w:t>
            </w:r>
          </w:p>
        </w:tc>
        <w:tc>
          <w:tcPr>
            <w:tcW w:w="1400" w:type="dxa"/>
            <w:vAlign w:val="center"/>
            <w:tcMar>
              <w:top w:w="25" w:type="dxa"/>
              <w:bottom w:w="25" w:type="dxa"/>
              <w:left w:w="25" w:type="dxa"/>
              <w:right w:w="25" w:type="dxa"/>
            </w:tcMar>
          </w:tcPr>
          <w:p w14:paraId="5CA9633F"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16 / 50</w:t>
            </w:r>
          </w:p>
        </w:tc>
        <w:tc>
          <w:tcPr>
            <w:tcW w:w="2100" w:type="dxa"/>
            <w:vAlign w:val="center"/>
            <w:tcMar>
              <w:top w:w="25" w:type="dxa"/>
              <w:bottom w:w="25" w:type="dxa"/>
              <w:left w:w="25" w:type="dxa"/>
              <w:right w:w="25" w:type="dxa"/>
            </w:tcMar>
          </w:tcPr>
          <w:p w14:paraId="695157D4"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143158532224272924</w:t>
            </w:r>
          </w:p>
        </w:tc>
        <w:tc>
          <w:tcPr>
            <w:tcW w:w="2200" w:type="dxa"/>
            <w:vAlign w:val="center"/>
            <w:tcMar>
              <w:top w:w="25" w:type="dxa"/>
              <w:bottom w:w="25" w:type="dxa"/>
              <w:left w:w="25" w:type="dxa"/>
              <w:right w:w="25" w:type="dxa"/>
            </w:tcMar>
          </w:tcPr>
          <w:p w14:paraId="70A34817"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p2_param</w:t>
            </w:r>
          </w:p>
        </w:tc>
      </w:tr>
      <w:tr w:rsidR="00223A64" w14:paraId="43117FA9" w14:textId="77777777">
        <w:trPr>
          <w:cantSplit/>
          <w:jc w:val="center"/>
          <w:cantSplit/>
        </w:trPr>
        <w:tc>
          <w:tcPr>
            <w:tcW w:w="1100" w:type="dxa"/>
            <w:vAlign w:val="center"/>
            <w:tcMar>
              <w:top w:w="25" w:type="dxa"/>
              <w:bottom w:w="25" w:type="dxa"/>
              <w:left w:w="25" w:type="dxa"/>
              <w:right w:w="25" w:type="dxa"/>
            </w:tcMar>
          </w:tcPr>
          <w:p w14:paraId="6DDD90BD"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紧致出示</w:t>
            </w:r>
          </w:p>
        </w:tc>
        <w:tc>
          <w:tcPr>
            <w:tcW w:w="1500" w:type="dxa"/>
            <w:vAlign w:val="center"/>
            <w:tcMar>
              <w:top w:w="25" w:type="dxa"/>
              <w:bottom w:w="25" w:type="dxa"/>
              <w:left w:w="25" w:type="dxa"/>
              <w:right w:w="25" w:type="dxa"/>
            </w:tcMar>
          </w:tcPr>
          <w:p w14:paraId="680681AB"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48−k / 50−k</w:t>
            </w:r>
          </w:p>
        </w:tc>
        <w:tc>
          <w:tcPr>
            <w:tcW w:w="1400" w:type="dxa"/>
            <w:vAlign w:val="center"/>
            <w:tcMar>
              <w:top w:w="25" w:type="dxa"/>
              <w:bottom w:w="25" w:type="dxa"/>
              <w:left w:w="25" w:type="dxa"/>
              <w:right w:w="25" w:type="dxa"/>
            </w:tcMar>
          </w:tcPr>
          <w:p w14:paraId="5CA9633F"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16−k / 50−k</w:t>
            </w:r>
          </w:p>
        </w:tc>
        <w:tc>
          <w:tcPr>
            <w:tcW w:w="2100" w:type="dxa"/>
            <w:vAlign w:val="center"/>
            <w:tcMar>
              <w:top w:w="25" w:type="dxa"/>
              <w:bottom w:w="25" w:type="dxa"/>
              <w:left w:w="25" w:type="dxa"/>
              <w:right w:w="25" w:type="dxa"/>
            </w:tcMar>
          </w:tcPr>
          <w:p w14:paraId="695157D4"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沿用填充值</w:t>
            </w:r>
          </w:p>
        </w:tc>
        <w:tc>
          <w:tcPr>
            <w:tcW w:w="2200" w:type="dxa"/>
            <w:vAlign w:val="center"/>
            <w:tcMar>
              <w:top w:w="25" w:type="dxa"/>
              <w:bottom w:w="25" w:type="dxa"/>
              <w:left w:w="25" w:type="dxa"/>
              <w:right w:w="25" w:type="dxa"/>
            </w:tcMar>
          </w:tcPr>
          <w:p w14:paraId="70A34817" w14:textId="77777777" w:rsidR="00223A64" w:rsidRDefault="00000000">
            <w:pPr>
              <w:keepNext w:val="0"/>
              <w:keepLines w:val="0"/>
              <w:widowControl/>
              <w:snapToGrid w:val="0"/>
              <w:spacing w:line="276" w:lineRule="auto" w:before="0" w:after="0"/>
              <w:ind w:left="0" w:right="0" w:firstLine="0"/>
              <w:jc w:val="center"/>
              <w:snapToGrid w:val="0"/>
            </w:pPr>
            <w:r>
              <w:rPr>
                <w:rFonts w:ascii="Times New Roman" w:hAnsi="Times New Roman" w:eastAsia="宋体"/>
                <w:b w:val="0"/>
                <w:color w:val="000000"/>
                <w:sz w:val="18"/>
              </w:rPr>
              <w:t xml:space="preserve">p2_compact{k}_param，k=1…8</w:t>
            </w:r>
          </w:p>
        </w:tc>
      </w:tr>
    </w:tbl>
    <w:p>
      <w:pPr>
        <w:spacing w:after="40" w:before="0" w:line="276" w:lineRule="auto"/>
        <w:keepNext/>
        <w:widowControl/>
        <w:snapToGrid w:val="0"/>
      </w:pPr>
      <w:r>
        <w:t xml:space="preserve">表</w:t>
      </w:r>
      <w:fldSimple w:instr=" REF stblS8a \h ">
        <w:r>
          <w:t>S8a</w:t>
        </w:r>
      </w:fldSimple>
      <w:r>
        <w:t xml:space="preserve">的参数头文件、生成器及紧致实例构造入口见第</w:t>
      </w:r>
      <w:fldSimple w:instr=" REF ssecS7 \h ">
        <w:r>
          <w:t>S7</w:t>
        </w:r>
      </w:fldSimple>
      <w:r>
        <w:t xml:space="preserve">节。出示的模数q、子环次数d、m₂=64、ℓ=0、MSIS秩20、范数余量Z=2、标准差、拒绝参数及范数阈值均沿用填充配置；见证索引改为0…47−k，二进制约束索引为16…23与40…47−k的并集，k=8时后段为空。</w:t>
      </w:r>
    </w:p>
    <w:p>
      <w:pPr>
        <w:spacing w:after="40" w:before="0" w:line="276" w:lineRule="auto"/>
        <w:widowControl/>
        <w:snapToGrid w:val="0"/>
      </w:pPr>
      <w:r>
        <w:t xml:space="preserve">关系编译的范围核查：声明设置接口先将模p输入规范化为中心代表元，再乘p⁻¹。令</w:t>
      </w:r>
      <m:oMath>
        <m:r>
          <m:rPr>
            <m:sty/>
          </m:rPr>
          <m:t>P=(p−1)/2=6144</m:t>
        </m:r>
      </m:oMath>
      <w:r>
        <w:t xml:space="preserve">，应用列数为n，提取见证逐系数上界为S，则卷积给出</w:t>
      </w:r>
      <m:oMath>
        <m:r>
          <m:rPr>
            <m:sty m:val="i"/>
          </m:rPr>
          <m:t>∥</m:t>
        </m:r>
        <m:r>
          <m:rPr>
            <m:sty m:val="bi"/>
          </m:rPr>
          <m:t>A</m:t>
        </m:r>
        <m:r>
          <m:rPr>
            <m:sty m:val="bi"/>
          </m:rPr>
          <m:t>w</m:t>
        </m:r>
        <m:r>
          <m:rPr>
            <m:sty m:val="i"/>
          </m:rPr>
          <m:t>+</m:t>
        </m:r>
        <m:r>
          <m:rPr>
            <m:sty m:val="bi"/>
          </m:rPr>
          <m:t>u</m:t>
        </m:r>
        <m:r>
          <m:rPr>
            <m:sty m:val="i"/>
          </m:rPr>
          <m:t>∥∞≤V=P(1+ndS)</m:t>
        </m:r>
      </m:oMath>
      <w:r>
        <w:t xml:space="preserve">。签发取S=109，出示取保守整数S=5834，依据分别为精确范数109和√34034726及二进制约束；签发采样使用的系数界19不作为全部提取见证的上界。</w:t>
      </w:r>
    </w:p>
    <w:p>
      <w:pPr>
        <w:spacing w:after="40" w:before="0" w:line="276" w:lineRule="auto"/>
        <w:widowControl/>
        <w:snapToGrid w:val="0"/>
      </w:pPr>
      <w:r>
        <w:t xml:space="preserve">沿用原框架的近似范围提取结论时，中心代表</w:t>
      </w:r>
      <m:oMath>
        <m:r>
          <m:rPr>
            <m:sty m:val="bi"/>
          </m:rPr>
          <m:t>e</m:t>
        </m:r>
        <m:r>
          <m:rPr>
            <m:sty m:val="i"/>
          </m:rPr>
          <m:t>≡p⁻¹(</m:t>
        </m:r>
        <m:r>
          <m:rPr>
            <m:sty m:val="bi"/>
          </m:rPr>
          <m:t>A</m:t>
        </m:r>
        <m:r>
          <m:rPr>
            <m:sty m:val="bi"/>
          </m:rPr>
          <m:t>w</m:t>
        </m:r>
        <m:r>
          <m:rPr>
            <m:sty m:val="i"/>
          </m:rPr>
          <m:t>+</m:t>
        </m:r>
        <m:r>
          <m:rPr>
            <m:sty m:val="bi"/>
          </m:rPr>
          <m:t>u</m:t>
        </m:r>
        <m:r>
          <m:rPr>
            <m:sty m:val="i"/>
          </m:rPr>
          <m:t>) (</m:t>
        </m:r>
        <m:r>
          <m:rPr>
            <m:sty m:val="p"/>
          </m:rPr>
          <m:t>mod</m:t>
        </m:r>
        <m:r>
          <m:rPr>
            <m:sty m:val="i"/>
          </m:rPr>
          <m:t> q)</m:t>
        </m:r>
      </m:oMath>
      <w:r>
        <w:t xml:space="preserve">满足</w:t>
      </w:r>
      <m:oMath>
        <m:r>
          <m:rPr>
            <m:sty m:val="i"/>
          </m:rPr>
          <m:t>∥</m:t>
        </m:r>
        <m:r>
          <m:rPr>
            <m:sty m:val="bi"/>
          </m:rPr>
          <m:t>e</m:t>
        </m:r>
        <m:r>
          <m:rPr>
            <m:sty m:val="i"/>
          </m:rPr>
          <m:t>∥∞≤ψB′</m:t>
        </m:r>
      </m:oMath>
      <w:r>
        <w:t xml:space="preserve">。生成器中</w:t>
      </w:r>
      <m:oMath>
        <m:r>
          <m:rPr>
            <m:sty/>
          </m:rPr>
          <m:t>σ₄=γ₄√337 B′</m:t>
        </m:r>
      </m:oMath>
      <w:r>
        <w:t xml:space="preserve">、</w:t>
      </w:r>
      <m:oMath>
        <m:r>
          <m:rPr>
            <m:sty/>
          </m:rPr>
          <m:t>ψ=2γ₄√(377·2κ)</m:t>
        </m:r>
      </m:oMath>
      <w:r>
        <w:t xml:space="preserve">，κ=128；故可取</w:t>
      </w:r>
      <m:oMath>
        <m:r>
          <m:rPr>
            <m:sty/>
          </m:rPr>
          <m:t>E=⌈2σ₄√(377·256/337)⌉</m:t>
        </m:r>
      </m:oMath>
      <w:r>
        <w:t xml:space="preserve">。固定σ₄为签发1625292.8、出示832149913.6，得到E=55009452、28164839157。此处e是被约束表达式的整数代表，不是任意添加且未受约束的商。</w:t>
      </w:r>
    </w:p>
    <w:p>
      <w:pPr>
        <w:spacing w:after="40" w:before="0" w:line="276" w:lineRule="auto"/>
        <w:widowControl/>
        <w:snapToGrid w:val="0"/>
      </w:pPr>
      <w:r>
        <w:t xml:space="preserve">据此</w:t>
      </w:r>
      <m:oMath>
        <m:r>
          <m:rPr>
            <m:sty m:val="i"/>
          </m:rPr>
          <m:t>∥</m:t>
        </m:r>
        <m:r>
          <m:rPr>
            <m:sty m:val="bi"/>
          </m:rPr>
          <m:t>A</m:t>
        </m:r>
        <m:r>
          <m:rPr>
            <m:sty m:val="bi"/>
          </m:rPr>
          <m:t>w</m:t>
        </m:r>
        <m:r>
          <m:rPr>
            <m:sty m:val="i"/>
          </m:rPr>
          <m:t>+</m:t>
        </m:r>
        <m:r>
          <m:rPr>
            <m:sty m:val="bi"/>
          </m:rPr>
          <m:t>u</m:t>
        </m:r>
        <m:r>
          <m:rPr>
            <m:sty m:val="i"/>
          </m:rPr>
          <m:t>−p</m:t>
        </m:r>
        <m:r>
          <m:rPr>
            <m:sty m:val="bi"/>
          </m:rPr>
          <m:t>e</m:t>
        </m:r>
        <m:r>
          <m:rPr>
            <m:sty m:val="i"/>
          </m:rPr>
          <m:t>∥∞≤V+pE</m:t>
        </m:r>
      </m:oMath>
      <w:r>
        <w:t xml:space="preserve">：签发上界677039814828＜q₁=2199023255717；填充出示上界346227821469429＜q₂=1125899906843221；k=3紧致为346220939402997。其余k的n减小而E不变，统一受填充界控制。两类上界均小于各自q的0.308倍，足以在上述提取前提下排除模q回绕。</w:t>
      </w:r>
    </w:p>
    <w:p>
      <w:pPr>
        <w:spacing w:after="40" w:before="0" w:line="276" w:lineRule="auto"/>
        <w:widowControl/>
        <w:snapToGrid w:val="0"/>
      </w:pPr>
      <w:r>
        <w:t xml:space="preserve">静态复核了参数生成器的维度下界及四类范围不等式（源码位置见第</w:t>
      </w:r>
      <w:fldSimple w:instr=" REF ssecS7 \h ">
        <w:r>
          <w:t>S7</w:t>
        </w:r>
      </w:fldSimple>
      <w:r>
        <w:t xml:space="preserve">节）：内部维度乘d与m₂d均至少5κ；q分别超过41nex·d·B̄、B̄²+B̄√(nbin·d)、B̄²+B̄√d及3Bᵢ²+B̄²，其中</w:t>
      </w:r>
      <m:oMath>
        <m:r>
          <m:rPr>
            <m:sty m:val="i"/>
          </m:rPr>
          <m:t>B̄=2√(256/26)√(1+</m:t>
        </m:r>
        <m:r>
          <m:rPr>
            <m:sty m:val="p"/>
          </m:rPr>
          <m:t>ln</m:t>
        </m:r>
        <m:r>
          <m:rPr>
            <m:sty m:val="i"/>
          </m:rPr>
          <m:t>2)σ₃</m:t>
        </m:r>
      </m:oMath>
      <w:r>
        <w:t xml:space="preserve">。签发及k=0…8均满足这些显式检查。该核查针对固定参数、索引和所列代数条件，未重新生成全部Sage参数或给出新的协议安全归约。</w:t>
      </w:r>
    </w:p>
    <w:p>
      <w:pPr>
        <w:spacing w:after="40" w:before="0" w:line="276" w:lineRule="auto"/>
        <w:widowControl/>
        <w:snapToGrid w:val="0"/>
      </w:pPr>
      <w:r>
        <w:t xml:space="preserve">Core-SVP按[</w:t>
      </w:r>
      <w:hyperlink r:id="rIdMainReferences" w:anchor="Ref_19">
        <w:r>
          <w:t xml:space="preserve">19</w:t>
        </w:r>
      </w:hyperlink>
      <w:r>
        <w:t xml:space="preserve">]取0.292β/0.265β，忽略次指数及完整BKZ成本；MLWE仅列参数及单一primal-uSVP GSA，Falcon不含辅助原像归约。全k表只扫描MSIS。知识误差约3.6734×10⁻³⁹，依赖MSIS，不是FS ROM/QROM最终界；其余协议性质仍依赖原构造。</w:t>
      </w:r>
    </w:p>
    <w:p>
      <w:pPr>
        <w:keepNext/>
        <w:spacing w:after="40" w:before="120" w:line="276" w:lineRule="auto"/>
        <w:widowControl/>
        <w:snapToGrid w:val="0"/>
      </w:pPr>
      <w:r>
        <w:rPr>
          <w:b/>
          <w:sz w:val="22"/>
        </w:rPr>
        <w:t/>
      </w:r>
      <w:bookmarkStart w:id="17" w:name="ssecS5"/>
      <w:r>
        <w:rPr>
          <w:b/>
          <w:sz w:val="22"/>
        </w:rPr>
        <w:t>S5</w:t>
      </w:r>
      <w:bookmarkEnd w:id="17"/>
      <w:r>
        <w:rPr>
          <w:b/>
          <w:sz w:val="22"/>
        </w:rPr>
        <w:t xml:space="preserve"> 有限回归及影子记录</w:t>
      </w:r>
    </w:p>
    <w:p>
      <w:pPr>
        <w:keepNext/>
        <w:spacing w:after="40" w:before="120" w:line="276" w:lineRule="auto"/>
        <w:widowControl/>
        <w:snapToGrid w:val="0"/>
      </w:pPr>
      <w:r>
        <w:rPr>
          <w:rFonts w:ascii="Times New Roman" w:hAnsi="Times New Roman" w:eastAsia="宋体"/>
          <w:color w:val="000000"/>
        </w:rPr>
        <w:t>表</w:t>
      </w:r>
      <w:bookmarkStart w:id="18" w:name="stblS9"/>
      <w:r>
        <w:rPr>
          <w:rFonts w:ascii="Times New Roman" w:hAnsi="Times New Roman" w:eastAsia="宋体"/>
          <w:color w:val="000000"/>
        </w:rPr>
        <w:t>S9</w:t>
      </w:r>
      <w:bookmarkEnd w:id="18"/>
      <w:r>
        <w:rPr>
          <w:rFonts w:ascii="Times New Roman" w:hAnsi="Times New Roman" w:eastAsia="宋体"/>
          <w:color w:val="000000"/>
        </w:rPr>
        <w:t xml:space="preserve"> 三个固定随机币实例的证明大小</w:t>
      </w:r>
    </w:p>
    <w:tbl>
      <w:tblPr>
        <w:tblW w:type="dxa" w:w="8306"/>
        <w:jc w:val="center"/>
        <w:tblLayout w:type="fixed"/>
        <w:tblLook w:firstColumn="1" w:firstRow="1" w:lastColumn="0" w:lastRow="0" w:noHBand="0" w:noVBand="1" w:val="04A0"/>
        <w:tblBorders>
          <w:top w:val="single" w:sz="6" w:color="000000"/>
          <w:bottom w:val="single" w:sz="6" w:color="000000"/>
          <w:left w:val="nil" w:sz="6" w:color="000000"/>
          <w:right w:val="nil" w:sz="6" w:color="000000"/>
          <w:insideH w:val="nil" w:sz="6" w:color="000000"/>
          <w:insideV w:val="nil" w:sz="6" w:color="000000"/>
        </w:tblBorders>
      </w:tblPr>
      <w:tblGrid>
        <w:gridCol w:w="650"/>
        <w:gridCol w:w="1850"/>
        <w:gridCol w:w="1850"/>
        <w:gridCol w:w="1850"/>
        <w:gridCol w:w="2106"/>
      </w:tblGrid>
      <w:tr>
        <w:trPr>
          <w:cantSplit/>
          <w:tblHeader/>
          <w:cantSplit/>
          <w:tblHeader/>
          <w:cantSplit/>
          <w:tblHeader/>
          <w:tblHeader/>
        </w:trPr>
        <w:tc>
          <w:tcPr>
            <w:tcW w:type="dxa" w:w="650"/>
            <w:vAlign w:val="center"/>
            <w:tcMar>
              <w:top w:w="45" w:type="dxa"/>
              <w:bottom w:w="45" w:type="dxa"/>
              <w:left w:w="60" w:type="dxa"/>
              <w:right w:w="60" w:type="dxa"/>
              <w:top w:w="25" w:type="dxa"/>
              <w:bottom w:w="25" w:type="dxa"/>
              <w:left w:w="25" w:type="dxa"/>
              <w:right w:w="25" w:type="dxa"/>
            </w:tcMar>
            <w:tcBorders>
              <w:bottom w:val="single" w:sz="5" w:color="000000"/>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种子</w:t>
              <w:br/>
              <w:t>编号</w:t>
            </w:r>
          </w:p>
        </w:tc>
        <w:tc>
          <w:tcPr>
            <w:tcW w:type="dxa" w:w="1850"/>
            <w:vAlign w:val="center"/>
            <w:tcMar>
              <w:top w:w="45" w:type="dxa"/>
              <w:bottom w:w="45" w:type="dxa"/>
              <w:left w:w="60" w:type="dxa"/>
              <w:right w:w="60" w:type="dxa"/>
              <w:top w:w="25" w:type="dxa"/>
              <w:bottom w:w="25" w:type="dxa"/>
              <w:left w:w="25" w:type="dxa"/>
              <w:right w:w="25" w:type="dxa"/>
            </w:tcMar>
            <w:tcBorders>
              <w:bottom w:val="single" w:sz="5" w:color="000000"/>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修正基线/B</w:t>
            </w:r>
          </w:p>
        </w:tc>
        <w:tc>
          <w:tcPr>
            <w:tcW w:type="dxa" w:w="1850"/>
            <w:vAlign w:val="center"/>
            <w:tcMar>
              <w:top w:w="45" w:type="dxa"/>
              <w:bottom w:w="45" w:type="dxa"/>
              <w:left w:w="60" w:type="dxa"/>
              <w:right w:w="60" w:type="dxa"/>
              <w:top w:w="25" w:type="dxa"/>
              <w:bottom w:w="25" w:type="dxa"/>
              <w:left w:w="25" w:type="dxa"/>
              <w:right w:w="25" w:type="dxa"/>
            </w:tcMar>
            <w:tcBorders>
              <w:bottom w:val="single" w:sz="5" w:color="000000"/>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填充优化/B</w:t>
            </w:r>
          </w:p>
        </w:tc>
        <w:tc>
          <w:tcPr>
            <w:tcW w:type="dxa" w:w="1850"/>
            <w:vAlign w:val="center"/>
            <w:tcMar>
              <w:top w:w="45" w:type="dxa"/>
              <w:bottom w:w="45" w:type="dxa"/>
              <w:left w:w="60" w:type="dxa"/>
              <w:right w:w="60" w:type="dxa"/>
              <w:top w:w="25" w:type="dxa"/>
              <w:bottom w:w="25" w:type="dxa"/>
              <w:left w:w="25" w:type="dxa"/>
              <w:right w:w="25" w:type="dxa"/>
            </w:tcMar>
            <w:tcBorders>
              <w:bottom w:val="single" w:sz="5" w:color="000000"/>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紧致优化/B</w:t>
            </w:r>
          </w:p>
        </w:tc>
        <w:tc>
          <w:tcPr>
            <w:tcW w:type="dxa" w:w="2106"/>
            <w:vAlign w:val="center"/>
            <w:tcMar>
              <w:top w:w="45" w:type="dxa"/>
              <w:bottom w:w="45" w:type="dxa"/>
              <w:left w:w="60" w:type="dxa"/>
              <w:right w:w="60" w:type="dxa"/>
              <w:top w:w="25" w:type="dxa"/>
              <w:bottom w:w="25" w:type="dxa"/>
              <w:left w:w="25" w:type="dxa"/>
              <w:right w:w="25" w:type="dxa"/>
            </w:tcMar>
            <w:tcBorders>
              <w:bottom w:val="single" w:sz="5" w:color="000000"/>
            </w:tcBorders>
          </w:tcPr>
          <w:p>
            <w:pPr>
              <w:keepNext w:val="0"/>
              <w:spacing w:before="0" w:after="0" w:line="276" w:lineRule="auto"/>
              <w:ind w:left="0" w:right="0" w:firstLine="0"/>
              <w:jc w:val="center"/>
              <w:keepLines w:val="0"/>
              <w:snapToGrid w:val="0"/>
            </w:pPr>
            <w:r>
              <w:rPr>
                <w:rFonts w:ascii="Times New Roman" w:hAnsi="Times New Roman" w:eastAsia="宋体"/>
                <w:b/>
                <w:color w:val="000000"/>
                <w:sz w:val="18"/>
              </w:rPr>
              <w:t>相对填充减少/B</w:t>
            </w:r>
          </w:p>
        </w:tc>
      </w:tr>
      <w:tr>
        <w:trPr>
          <w:cantSplit/>
          <w:cantSplit/>
          <w:cantSplit/>
        </w:trPr>
        <w:tc>
          <w:tcPr>
            <w:tcW w:type="dxa" w:w="650"/>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1</w:t>
            </w:r>
          </w:p>
        </w:tc>
        <w:tc>
          <w:tcPr>
            <w:tcW w:type="dxa" w:w="1850"/>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29,118</w:t>
            </w:r>
          </w:p>
        </w:tc>
        <w:tc>
          <w:tcPr>
            <w:tcW w:type="dxa" w:w="1850"/>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29,118</w:t>
            </w:r>
          </w:p>
        </w:tc>
        <w:tc>
          <w:tcPr>
            <w:tcW w:type="dxa" w:w="1850"/>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28,501</w:t>
            </w:r>
          </w:p>
        </w:tc>
        <w:tc>
          <w:tcPr>
            <w:tcW w:type="dxa" w:w="2106"/>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617</w:t>
            </w:r>
          </w:p>
        </w:tc>
      </w:tr>
      <w:tr>
        <w:trPr>
          <w:cantSplit/>
          <w:cantSplit/>
          <w:cantSplit/>
        </w:trPr>
        <w:tc>
          <w:tcPr>
            <w:tcW w:type="dxa" w:w="650"/>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w:t>
            </w:r>
          </w:p>
        </w:tc>
        <w:tc>
          <w:tcPr>
            <w:tcW w:type="dxa" w:w="1850"/>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29,107</w:t>
            </w:r>
          </w:p>
        </w:tc>
        <w:tc>
          <w:tcPr>
            <w:tcW w:type="dxa" w:w="1850"/>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29,107</w:t>
            </w:r>
          </w:p>
        </w:tc>
        <w:tc>
          <w:tcPr>
            <w:tcW w:type="dxa" w:w="1850"/>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28,484</w:t>
            </w:r>
          </w:p>
        </w:tc>
        <w:tc>
          <w:tcPr>
            <w:tcW w:type="dxa" w:w="2106"/>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623</w:t>
            </w:r>
          </w:p>
        </w:tc>
      </w:tr>
      <w:tr>
        <w:trPr>
          <w:cantSplit/>
          <w:cantSplit/>
          <w:cantSplit/>
        </w:trPr>
        <w:tc>
          <w:tcPr>
            <w:tcW w:type="dxa" w:w="650"/>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3</w:t>
            </w:r>
          </w:p>
        </w:tc>
        <w:tc>
          <w:tcPr>
            <w:tcW w:type="dxa" w:w="1850"/>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29,109</w:t>
            </w:r>
          </w:p>
        </w:tc>
        <w:tc>
          <w:tcPr>
            <w:tcW w:type="dxa" w:w="1850"/>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29,109</w:t>
            </w:r>
          </w:p>
        </w:tc>
        <w:tc>
          <w:tcPr>
            <w:tcW w:type="dxa" w:w="1850"/>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28,474</w:t>
            </w:r>
          </w:p>
        </w:tc>
        <w:tc>
          <w:tcPr>
            <w:tcW w:type="dxa" w:w="2106"/>
            <w:vAlign w:val="center"/>
            <w:tcMar>
              <w:top w:w="45" w:type="dxa"/>
              <w:bottom w:w="45" w:type="dxa"/>
              <w:left w:w="60" w:type="dxa"/>
              <w:right w:w="60" w:type="dxa"/>
              <w:top w:w="25" w:type="dxa"/>
              <w:bottom w:w="25" w:type="dxa"/>
              <w:left w:w="25" w:type="dxa"/>
              <w:right w:w="25" w:type="dxa"/>
            </w:tcMa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635</w:t>
            </w:r>
          </w:p>
        </w:tc>
      </w:tr>
    </w:tbl>
    <w:p>
      <w:pPr>
        <w:spacing w:after="40" w:before="0" w:line="276" w:lineRule="auto"/>
        <w:widowControl/>
        <w:snapToGrid w:val="0"/>
      </w:pPr>
      <w:r>
        <w:t xml:space="preserve">披露数k=3、披露集合D={0,4,5}，采用严格验证，并同时固定Python与原生层随机源。三种实现的请求及盲签名长度与哈希相同，修正基线与填充优化的证明哈希逐种子一致；紧致优化改变关系及编码，不要求证明字节相同。对应记录见第</w:t>
      </w:r>
      <w:fldSimple w:instr=" REF ssecS7 \h ">
        <w:r>
          <w:t>S7</w:t>
        </w:r>
      </w:fldSimple>
      <w:r>
        <w:t xml:space="preserve">节。随机币规则不同，不能与历史实验同编号种子直接比较摘要。</w:t>
      </w:r>
    </w:p>
    <w:p>
      <w:pPr>
        <w:spacing w:after="40" w:before="0" w:line="276" w:lineRule="auto"/>
        <w:widowControl/>
        <w:snapToGrid w:val="0"/>
      </w:pPr>
      <w:r>
        <w:t>六类预设变异的全子集回归：尾随/翻转/重复下标/越界各拒512条，隐藏槽注入/披露值变更各510条，重排诚实接受512条；空/全集无对应槽位导致差别。每变体仅一个有限凭证及预设变异，数量非攻击覆盖率。12,480计时无重复证明哈希仅为随机性观察。</w:t>
      </w:r>
      <w:r>
        <w:t xml:space="preserve">严格交叉验证12次接受并拒绝尾随。</w:t>
      </w:r>
    </w:p>
    <w:p>
      <w:pPr>
        <w:spacing w:after="40" w:before="0" w:line="276" w:lineRule="auto"/>
        <w:widowControl/>
        <w:snapToGrid w:val="0"/>
      </w:pPr>
      <w:r>
        <w:t xml:space="preserve">独立小规模回归包含36条计时，不并入7,200次主会话。填充优化与紧致优化的强制通用路径与正常守卫路径在各自实现内生成相同证明，两组响应均存在回退。两种优化各1009项守卫及39项模乘边界检查与参考一致；缓存40个驻留实例、20次复证命中、4次声明切换检查通过。48份原始与9份专项JSONL记录与回执一致。本批未强制释放后地址复用；归档及原始批次标识见第</w:t>
      </w:r>
      <w:fldSimple w:instr=" REF ssecS7 \h ">
        <w:r>
          <w:t>S7</w:t>
        </w:r>
      </w:fldSimple>
      <w:r>
        <w:t xml:space="preserve">节。</w:t>
      </w:r>
    </w:p>
    <w:p>
      <w:pPr>
        <w:spacing w:after="40" w:before="0" w:line="276" w:lineRule="auto"/>
        <w:widowControl/>
        <w:snapToGrid w:val="0"/>
      </w:pPr>
      <w:r>
        <w:t xml:space="preserve">地址压力测试另做80轮单线程创建、出示、销毁与重建，覆盖集合保持、切换及恢复。320次严格验证接受、80次篡改拒绝，记录到65次已销毁生命周期的原生声明矩阵地址再现（非不同地址数）；最小命中4，切换及恢复重填各2。仅加载一份紧致优化原生库。证据限于受支持接口、当前分配器及单线程，不覆盖绕过接口原地修改或并发。归档、日志及测试脚本见第</w:t>
      </w:r>
      <w:fldSimple w:instr=" REF ssecS7 \h ">
        <w:r>
          <w:t>S7</w:t>
        </w:r>
      </w:fldSimple>
      <w:r>
        <w:t xml:space="preserve">节。</w:t>
      </w:r>
    </w:p>
    <w:p>
      <w:pPr>
        <w:spacing w:after="40" w:before="0" w:line="276" w:lineRule="auto"/>
        <w:widowControl/>
        <w:snapToGrid w:val="0"/>
      </w:pPr>
      <w:r>
        <w:t xml:space="preserve">签发另计：严格会话重建下每种实现600次。修正基线、填充优化、紧致优化的签发证明生成均值依次为40.68、29.40、28.70 ms，验证与签发阶段依次为18.33、11.81、11.85 ms，两段合计为59.01、41.21、40.55 ms。合计由未舍入记录求和，排除初始化，不并入本地出示，也不与重复出示拼接为端到端计时。原始字段及筛选条件见第</w:t>
      </w:r>
      <w:fldSimple w:instr=" REF ssecS7 \h ">
        <w:r>
          <w:t>S7</w:t>
        </w:r>
      </w:fldSimple>
      <w:r>
        <w:t xml:space="preserve">节。</w:t>
      </w:r>
    </w:p>
    <w:p>
      <w:pPr>
        <w:keepNext/>
        <w:spacing w:after="40" w:before="120" w:line="276" w:lineRule="auto"/>
        <w:widowControl/>
        <w:snapToGrid w:val="0"/>
      </w:pPr>
      <w:r>
        <w:rPr>
          <w:b/>
          <w:sz w:val="22"/>
        </w:rPr>
        <w:t>表</w:t>
      </w:r>
      <w:bookmarkStart w:id="19" w:name="stblS10"/>
      <w:r>
        <w:rPr>
          <w:b/>
          <w:sz w:val="22"/>
        </w:rPr>
        <w:t>S10</w:t>
      </w:r>
      <w:bookmarkEnd w:id="19"/>
      <w:r>
        <w:rPr>
          <w:b/>
          <w:sz w:val="22"/>
        </w:rPr>
        <w:t xml:space="preserve"> 浮点影子诊断及MPFR块耗时</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H w:val="nil" w:sz="6" w:color="000000"/>
          <w:insideV w:val="nil" w:sz="6" w:color="000000"/>
        </w:tblBorders>
      </w:tblPr>
      <w:tblGrid>
        <w:gridCol w:w="3061"/>
        <w:gridCol w:w="2608"/>
        <w:gridCol w:w="2608"/>
      </w:tblGrid>
      <w:tr>
        <w:trPr>
          <w:cantSplit/>
          <w:tblHeader/>
          <w:tblHeader/>
        </w:trPr>
        <w:tc>
          <w:tcPr>
            <w:tcW w:type="dxa" w:w="3061"/>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color w:val="000000"/>
                <w:sz w:val="18"/>
              </w:rPr>
              <w:t>指标</w:t>
            </w:r>
          </w:p>
        </w:tc>
        <w:tc>
          <w:tcPr>
            <w:tcW w:type="dxa" w:w="2608"/>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color w:val="000000"/>
                <w:sz w:val="18"/>
              </w:rPr>
              <w:t xml:space="preserve">填充影子诊断</w:t>
            </w:r>
          </w:p>
        </w:tc>
        <w:tc>
          <w:tcPr>
            <w:tcW w:type="dxa" w:w="2608"/>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color w:val="000000"/>
                <w:sz w:val="18"/>
              </w:rPr>
              <w:t xml:space="preserve">紧致影子诊断</w:t>
            </w:r>
          </w:p>
        </w:tc>
      </w:tr>
      <w:tr>
        <w:trPr>
          <w:cantSplit/>
        </w:trPr>
        <w:tc>
          <w:tcPr>
            <w:tcW w:type="dxa" w:w="3061"/>
            <w:tcMar>
              <w:top w:w="25" w:type="dxa"/>
              <w:left w:w="40" w:type="dxa"/>
              <w:bottom w:w="25" w:type="dxa"/>
              <w:right w:w="40" w:type="dxa"/>
              <w:top w:w="25" w:type="dxa"/>
              <w:bottom w:w="25" w:type="dxa"/>
              <w:left w:w="25" w:type="dxa"/>
              <w:right w:w="25" w:type="dxa"/>
            </w:tcMar>
            <w:vAlign w:val="center"/>
          </w:tcPr>
          <w:p>
            <w:pPr>
              <w:keepNext w:val="0"/>
              <w:keepLines w:val="0"/>
              <w:spacing w:line="276" w:lineRule="auto" w:before="0" w:after="0"/>
              <w:ind w:left="0" w:right="0" w:firstLine="0"/>
              <w:snapToGrid w:val="0"/>
            </w:pPr>
            <w:r>
              <w:rPr>
                <w:rFonts w:ascii="Times New Roman" w:hAnsi="Times New Roman" w:eastAsia="宋体"/>
                <w:color w:val="000000"/>
                <w:sz w:val="18"/>
              </w:rPr>
              <w:t>证明数/次</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100</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100</w:t>
            </w:r>
          </w:p>
        </w:tc>
      </w:tr>
      <w:tr>
        <w:trPr>
          <w:cantSplit/>
        </w:trPr>
        <w:tc>
          <w:tcPr>
            <w:tcW w:type="dxa" w:w="3061"/>
            <w:tcMar>
              <w:top w:w="25" w:type="dxa"/>
              <w:left w:w="40" w:type="dxa"/>
              <w:bottom w:w="25" w:type="dxa"/>
              <w:right w:w="40" w:type="dxa"/>
              <w:top w:w="25" w:type="dxa"/>
              <w:bottom w:w="25" w:type="dxa"/>
              <w:left w:w="25" w:type="dxa"/>
              <w:right w:w="25" w:type="dxa"/>
            </w:tcMar>
            <w:vAlign w:val="center"/>
          </w:tcPr>
          <w:p>
            <w:pPr>
              <w:keepNext w:val="0"/>
              <w:keepLines w:val="0"/>
              <w:spacing w:line="276" w:lineRule="auto" w:before="0" w:after="0"/>
              <w:ind w:left="0" w:right="0" w:firstLine="0"/>
              <w:snapToGrid w:val="0"/>
            </w:pPr>
            <w:r>
              <w:rPr>
                <w:rFonts w:ascii="Times New Roman" w:hAnsi="Times New Roman" w:eastAsia="宋体"/>
                <w:color w:val="000000"/>
                <w:sz w:val="18"/>
              </w:rPr>
              <w:t>标准/双峰调用/次</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598 / 464</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590 / 462</w:t>
            </w:r>
          </w:p>
        </w:tc>
      </w:tr>
      <w:tr>
        <w:trPr>
          <w:cantSplit/>
        </w:trPr>
        <w:tc>
          <w:tcPr>
            <w:tcW w:type="dxa" w:w="3061"/>
            <w:tcMar>
              <w:top w:w="25" w:type="dxa"/>
              <w:left w:w="40" w:type="dxa"/>
              <w:bottom w:w="25" w:type="dxa"/>
              <w:right w:w="40" w:type="dxa"/>
              <w:top w:w="25" w:type="dxa"/>
              <w:bottom w:w="25" w:type="dxa"/>
              <w:left w:w="25" w:type="dxa"/>
              <w:right w:w="25" w:type="dxa"/>
            </w:tcMar>
            <w:vAlign w:val="center"/>
          </w:tcPr>
          <w:p>
            <w:pPr>
              <w:keepNext w:val="0"/>
              <w:keepLines w:val="0"/>
              <w:spacing w:line="276" w:lineRule="auto" w:before="0" w:after="0"/>
              <w:ind w:left="0" w:right="0" w:firstLine="0"/>
              <w:snapToGrid w:val="0"/>
            </w:pPr>
            <w:r>
              <w:rPr>
                <w:rFonts w:ascii="Times New Roman" w:hAnsi="Times New Roman" w:eastAsia="宋体"/>
                <w:color w:val="000000"/>
                <w:sz w:val="18"/>
              </w:rPr>
              <w:t>候选 / 回退/次</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750 / 312</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747 / 305</w:t>
            </w:r>
          </w:p>
        </w:tc>
      </w:tr>
      <w:tr>
        <w:trPr>
          <w:cantSplit/>
        </w:trPr>
        <w:tc>
          <w:tcPr>
            <w:tcW w:type="dxa" w:w="3061"/>
            <w:tcMar>
              <w:top w:w="25" w:type="dxa"/>
              <w:left w:w="40" w:type="dxa"/>
              <w:bottom w:w="25" w:type="dxa"/>
              <w:right w:w="40" w:type="dxa"/>
              <w:top w:w="25" w:type="dxa"/>
              <w:bottom w:w="25" w:type="dxa"/>
              <w:left w:w="25" w:type="dxa"/>
              <w:right w:w="25" w:type="dxa"/>
            </w:tcMar>
            <w:vAlign w:val="center"/>
          </w:tcPr>
          <w:p>
            <w:pPr>
              <w:keepNext w:val="0"/>
              <w:keepLines w:val="0"/>
              <w:spacing w:line="276" w:lineRule="auto" w:before="0" w:after="0"/>
              <w:ind w:left="0" w:right="0" w:firstLine="0"/>
              <w:snapToGrid w:val="0"/>
            </w:pPr>
            <w:r>
              <w:rPr>
                <w:rFonts w:ascii="Times New Roman" w:hAnsi="Times New Roman" w:eastAsia="宋体"/>
                <w:color w:val="000000"/>
                <w:sz w:val="18"/>
              </w:rPr>
              <w:t>正指数 / 其它回退/次</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312 / 0</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305 / 0</w:t>
            </w:r>
          </w:p>
        </w:tc>
      </w:tr>
      <w:tr>
        <w:trPr>
          <w:cantSplit/>
        </w:trPr>
        <w:tc>
          <w:tcPr>
            <w:tcW w:type="dxa" w:w="3061"/>
            <w:tcMar>
              <w:top w:w="25" w:type="dxa"/>
              <w:left w:w="40" w:type="dxa"/>
              <w:bottom w:w="25" w:type="dxa"/>
              <w:right w:w="40" w:type="dxa"/>
              <w:top w:w="25" w:type="dxa"/>
              <w:bottom w:w="25" w:type="dxa"/>
              <w:left w:w="25" w:type="dxa"/>
              <w:right w:w="25" w:type="dxa"/>
            </w:tcMar>
            <w:vAlign w:val="center"/>
          </w:tcPr>
          <w:p>
            <w:pPr>
              <w:keepNext w:val="0"/>
              <w:keepLines w:val="0"/>
              <w:spacing w:line="276" w:lineRule="auto" w:before="0" w:after="0"/>
              <w:ind w:left="0" w:right="0" w:firstLine="0"/>
              <w:snapToGrid w:val="0"/>
            </w:pPr>
            <w:r>
              <w:rPr>
                <w:rFonts w:ascii="Times New Roman" w:hAnsi="Times New Roman" w:eastAsia="宋体"/>
                <w:color w:val="000000"/>
                <w:sz w:val="18"/>
              </w:rPr>
              <w:t>候选与MPFR差异/次</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0</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0</w:t>
            </w:r>
          </w:p>
        </w:tc>
      </w:tr>
      <w:tr>
        <w:trPr>
          <w:cantSplit/>
        </w:trPr>
        <w:tc>
          <w:tcPr>
            <w:tcW w:type="dxa" w:w="3061"/>
            <w:tcMar>
              <w:top w:w="25" w:type="dxa"/>
              <w:left w:w="40" w:type="dxa"/>
              <w:bottom w:w="25" w:type="dxa"/>
              <w:right w:w="40" w:type="dxa"/>
              <w:top w:w="25" w:type="dxa"/>
              <w:bottom w:w="25" w:type="dxa"/>
              <w:left w:w="25" w:type="dxa"/>
              <w:right w:w="25" w:type="dxa"/>
            </w:tcMar>
            <w:vAlign w:val="center"/>
          </w:tcPr>
          <w:p>
            <w:pPr>
              <w:keepNext w:val="0"/>
              <w:keepLines w:val="0"/>
              <w:spacing w:line="276" w:lineRule="auto" w:before="0" w:after="0"/>
              <w:ind w:left="0" w:right="0" w:firstLine="0"/>
              <w:snapToGrid w:val="0"/>
            </w:pPr>
            <w:r>
              <w:rPr>
                <w:rFonts w:ascii="Times New Roman" w:hAnsi="Times New Roman" w:eastAsia="宋体"/>
                <w:color w:val="000000"/>
                <w:sz w:val="18"/>
              </w:rPr>
              <w:t>标准/双峰MPFR耗时/ns</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3,713,970 / 2,762,629</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3,773,387 / 2,722,581</w:t>
            </w:r>
          </w:p>
        </w:tc>
      </w:tr>
      <w:tr>
        <w:trPr>
          <w:cantSplit/>
        </w:trPr>
        <w:tc>
          <w:tcPr>
            <w:tcW w:type="dxa" w:w="3061"/>
            <w:tcMar>
              <w:top w:w="25" w:type="dxa"/>
              <w:left w:w="40" w:type="dxa"/>
              <w:bottom w:w="25" w:type="dxa"/>
              <w:right w:w="40" w:type="dxa"/>
              <w:top w:w="25" w:type="dxa"/>
              <w:bottom w:w="25" w:type="dxa"/>
              <w:left w:w="25" w:type="dxa"/>
              <w:right w:w="25" w:type="dxa"/>
            </w:tcMar>
            <w:vAlign w:val="center"/>
          </w:tcPr>
          <w:p>
            <w:pPr>
              <w:keepNext w:val="0"/>
              <w:keepLines w:val="0"/>
              <w:spacing w:line="276" w:lineRule="auto" w:before="0" w:after="0"/>
              <w:ind w:left="0" w:right="0" w:firstLine="0"/>
              <w:snapToGrid w:val="0"/>
            </w:pPr>
            <w:r>
              <w:rPr>
                <w:rFonts w:ascii="Times New Roman" w:hAnsi="Times New Roman" w:eastAsia="宋体"/>
                <w:color w:val="000000"/>
                <w:sz w:val="18"/>
              </w:rPr>
              <w:t>MPFR合计/ns</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6,476,599</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6,495,968</w:t>
            </w:r>
          </w:p>
        </w:tc>
      </w:tr>
      <w:tr>
        <w:trPr>
          <w:cantSplit/>
        </w:trPr>
        <w:tc>
          <w:tcPr>
            <w:tcW w:type="dxa" w:w="3061"/>
            <w:tcMar>
              <w:top w:w="25" w:type="dxa"/>
              <w:left w:w="40" w:type="dxa"/>
              <w:bottom w:w="25" w:type="dxa"/>
              <w:right w:w="40" w:type="dxa"/>
              <w:top w:w="25" w:type="dxa"/>
              <w:bottom w:w="25" w:type="dxa"/>
              <w:left w:w="25" w:type="dxa"/>
              <w:right w:w="25" w:type="dxa"/>
            </w:tcMar>
            <w:vAlign w:val="center"/>
          </w:tcPr>
          <w:p>
            <w:pPr>
              <w:keepNext w:val="0"/>
              <w:keepLines w:val="0"/>
              <w:spacing w:line="276" w:lineRule="auto" w:before="0" w:after="0"/>
              <w:ind w:left="0" w:right="0" w:firstLine="0"/>
              <w:snapToGrid w:val="0"/>
            </w:pPr>
            <w:r>
              <w:rPr>
                <w:rFonts w:ascii="Times New Roman" w:hAnsi="Times New Roman" w:eastAsia="宋体"/>
                <w:color w:val="000000"/>
                <w:sz w:val="18"/>
              </w:rPr>
              <w:t>每证明MPFR均值/ms</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0.064766</w:t>
            </w:r>
          </w:p>
        </w:tc>
        <w:tc>
          <w:tcPr>
            <w:tcW w:type="dxa" w:w="2608"/>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0.064960</w:t>
            </w:r>
          </w:p>
        </w:tc>
      </w:tr>
    </w:tbl>
    <w:p>
      <w:pPr>
        <w:spacing w:after="40" w:before="0" w:line="276" w:lineRule="auto"/>
        <w:widowControl/>
        <w:snapToGrid w:val="0"/>
      </w:pPr>
      <w:r>
        <w:t xml:space="preserve">共2114次调用、1497次候选、617次回退；回退均由标准分支正指数预检查触发，占总调用29.19%、标准分支51.94%。其余原因零命中不能证明全域行为。影子诊断仍返回原MPFR判定。块耗时包含设置、转换、比较、清理及探针，不能视为纯数学函数微基准或候选路径净收益。记录文件、计数器字段及索引对应见第</w:t>
      </w:r>
      <w:fldSimple w:instr=" REF ssecS7 \h ">
        <w:r>
          <w:t>S7</w:t>
        </w:r>
      </w:fldSimple>
      <w:r>
        <w:t xml:space="preserve">节。</w:t>
      </w:r>
    </w:p>
    <w:p>
      <w:pPr>
        <w:keepNext/>
        <w:spacing w:after="40" w:before="120" w:line="276" w:lineRule="auto"/>
        <w:widowControl/>
        <w:snapToGrid w:val="0"/>
      </w:pPr>
      <w:r>
        <w:rPr>
          <w:b/>
          <w:sz w:val="22"/>
        </w:rPr>
        <w:t/>
      </w:r>
      <w:bookmarkStart w:id="20" w:name="ssecS6"/>
      <w:r>
        <w:rPr>
          <w:b/>
          <w:sz w:val="22"/>
        </w:rPr>
        <w:t>S6</w:t>
      </w:r>
      <w:bookmarkEnd w:id="20"/>
      <w:r>
        <w:rPr>
          <w:b/>
          <w:sz w:val="22"/>
        </w:rPr>
        <w:t xml:space="preserve"> 方法边界与历史归档</w:t>
      </w:r>
    </w:p>
    <w:p>
      <w:pPr>
        <w:spacing w:after="40" w:before="0" w:line="276" w:lineRule="auto"/>
        <w:widowControl/>
        <w:snapToGrid w:val="0"/>
      </w:pPr>
      <w:r>
        <w:rPr>
          <w:rFonts w:ascii="Times New Roman" w:hAnsi="Times New Roman" w:eastAsia="宋体"/>
          <w:color w:val="000000"/>
        </w:rPr>
        <w:t xml:space="preserve">协议背景及独立实现参照见正文引言和S8。历史实验共10,800次会话，九种实现按正序、反序、正序运行，采用默认验证并包含历史候选浮点判定。候选紧致相对修正基线的重复出示/会话重建均值降幅为36.77%/25.35%；在共同尝试次数处，浮点候选相对模乘优化的回归预测变化为0.42%/−1.01%，两类负载方向不同。历史结果仅作背景，不支持保留MPFR的主实验结论或独立消融，也不能由当前主实验复算；完整历史九级表见history/e3_tables/E3_历史九级表原文.docx的S1—S2（表S1—S7），对应批次为e3_rerun_full_20261017_125601_10c22c。该文件按旧稿原文归档；该历史归档未包含原始full记录及对应二进制。</w:t>
      </w:r>
    </w:p>
    <w:p>
      <w:pPr>
        <w:spacing w:line="276" w:lineRule="auto"/>
        <w:widowControl/>
        <w:snapToGrid w:val="0"/>
      </w:pPr>
      <w:r>
        <w:t xml:space="preserve">历史修错对照采用历史实验的随机币规则：种子1的原始/修正证明为29,120/29,121 B，SHA-256前16位分别为617d51c4238f35ae/f63c278fbf1189b3。该记录仅说明原始行为与修正基线不同，不能与表</w:t>
      </w:r>
      <w:fldSimple w:instr=" REF stblS9 \h ">
        <w:r>
          <w:t>S9</w:t>
        </w:r>
      </w:fldSimple>
      <w:r>
        <w:t xml:space="preserve">的同编号种子直接比较哈希。主结论不依赖完整历史表。</w:t>
      </w:r>
    </w:p>
    <w:p>
      <w:pPr>
        <w:keepNext/>
        <w:spacing w:after="40" w:before="120" w:line="276" w:lineRule="auto"/>
        <w:widowControl/>
        <w:snapToGrid w:val="0"/>
      </w:pPr>
      <w:r>
        <w:rPr>
          <w:b/>
          <w:sz w:val="22"/>
        </w:rPr>
        <w:t xml:space="preserve"/>
      </w:r>
      <w:bookmarkStart w:id="21" w:name="ssecS7"/>
      <w:r>
        <w:rPr>
          <w:b/>
          <w:sz w:val="22"/>
        </w:rPr>
        <w:t>S7</w:t>
      </w:r>
      <w:bookmarkEnd w:id="21"/>
      <w:r>
        <w:rPr>
          <w:b/>
          <w:sz w:val="22"/>
        </w:rPr>
        <w:t xml:space="preserve"> 复现标识与源码定位</w:t>
      </w:r>
    </w:p>
    <w:p>
      <w:pPr>
        <w:spacing w:after="40" w:before="0" w:line="276" w:lineRule="auto"/>
        <w:widowControl/>
        <w:snapToGrid w:val="0"/>
      </w:pPr>
      <w:r>
        <w:rPr>
          <w:rFonts w:ascii="Times New Roman" w:hAnsi="Times New Roman" w:eastAsia="宋体"/>
          <w:color w:val="000000"/>
        </w:rPr>
        <w:t xml:space="preserve">代码、实验数据、补充材料及中文图统一提供于配套仓库（</w:t>
      </w:r>
      <w:hyperlink r:id="rId13">
        <w:r>
          <w:rPr>
            <w:rFonts w:ascii="Times New Roman" w:hAnsi="Times New Roman" w:eastAsia="宋体"/>
            <w:color w:val="000000"/>
          </w:rPr>
          <w:t xml:space="preserve">https://github.com/freakchan1212/lazer-credential-artifacts</w:t>
        </w:r>
      </w:hyperlink>
      <w:r>
        <w:rPr>
          <w:rFonts w:ascii="Times New Roman" w:hAnsi="Times New Roman" w:eastAsia="宋体"/>
          <w:color w:val="000000"/>
        </w:rPr>
        <w:t xml:space="preserve">），对应材料版本标识为2026.11.01。以下路径相对于仓库根目录。原主代码、数据及证据位于code/、data/、evidence/；补充对照代码与数据位于comparison/、comparison_data/。历史4,200次补实验独立保留于history/revision23/及history/revision_data/，不并入当前统计；历史九级表原文与说明位于history/e3_tables/，详见S6。该版本固定归档的DOI见仓库发布记录与CITATION.cff。</w:t>
      </w:r>
    </w:p>
    <w:p>
      <w:pPr>
        <w:keepNext/>
        <w:spacing w:after="40" w:before="120" w:line="276" w:lineRule="auto"/>
        <w:widowControl/>
        <w:snapToGrid w:val="0"/>
      </w:pPr>
      <w:r>
        <w:rPr>
          <w:b/>
          <w:sz w:val="22"/>
        </w:rPr>
        <w:t xml:space="preserve">表</w:t>
      </w:r>
      <w:bookmarkStart w:id="22" w:name="stblS11"/>
      <w:r>
        <w:rPr>
          <w:b/>
          <w:sz w:val="22"/>
        </w:rPr>
        <w:t>S11</w:t>
      </w:r>
      <w:bookmarkEnd w:id="22"/>
      <w:r>
        <w:rPr>
          <w:b/>
          <w:sz w:val="22"/>
        </w:rPr>
        <w:t xml:space="preserve"> 中文名称与代码标识</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H w:val="nil" w:sz="6" w:color="000000"/>
          <w:insideV w:val="nil" w:sz="6" w:color="000000"/>
        </w:tblBorders>
      </w:tblPr>
      <w:tblGrid>
        <w:gridCol w:w="2400"/>
        <w:gridCol w:w="1700"/>
        <w:gridCol w:w="4200"/>
      </w:tblGrid>
      <w:tr>
        <w:trPr>
          <w:cantSplit/>
          <w:tblHeader/>
          <w:cantSplit/>
          <w:tblHeader/>
          <w:tblHeader/>
        </w:trPr>
        <w:tc>
          <w:tcPr>
            <w:tcW w:type="dxa" w:w="2400"/>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color w:val="000000"/>
                <w:sz w:val="18"/>
              </w:rPr>
              <w:t xml:space="preserve">中文名称</w:t>
            </w:r>
          </w:p>
        </w:tc>
        <w:tc>
          <w:tcPr>
            <w:tcW w:type="dxa" w:w="1700"/>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color w:val="000000"/>
                <w:sz w:val="18"/>
              </w:rPr>
              <w:t xml:space="preserve">代码标识</w:t>
            </w:r>
          </w:p>
        </w:tc>
        <w:tc>
          <w:tcPr>
            <w:tcW w:type="dxa" w:w="4200"/>
            <w:tcMar>
              <w:top w:w="25" w:type="dxa"/>
              <w:left w:w="40" w:type="dxa"/>
              <w:bottom w:w="25" w:type="dxa"/>
              <w:right w:w="40" w:type="dxa"/>
              <w:top w:w="25" w:type="dxa"/>
              <w:bottom w:w="25" w:type="dxa"/>
              <w:left w:w="25" w:type="dxa"/>
              <w:right w:w="25" w:type="dxa"/>
            </w:tcMar>
            <w:tcBorders>
              <w:bottom w:val="single" w:sz="4"/>
            </w:tcBorders>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color w:val="000000"/>
                <w:sz w:val="18"/>
              </w:rPr>
              <w:t xml:space="preserve">用途</w:t>
            </w:r>
          </w:p>
        </w:tc>
      </w:tr>
      <w:tr>
        <w:trPr>
          <w:cantSplit/>
          <w:cantSplit/>
        </w:trPr>
        <w:tc>
          <w:tcPr>
            <w:tcW w:type="dxa" w:w="24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修正基线</w:t>
            </w:r>
          </w:p>
        </w:tc>
        <w:tc>
          <w:tcPr>
            <w:tcW w:type="dxa" w:w="17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B1</w:t>
            </w:r>
          </w:p>
        </w:tc>
        <w:tc>
          <w:tcPr>
            <w:tcW w:type="dxa" w:w="42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三种主对照之一；含正确性修正</w:t>
            </w:r>
          </w:p>
        </w:tc>
      </w:tr>
      <w:tr>
        <w:trPr>
          <w:cantSplit/>
          <w:cantSplit/>
        </w:trPr>
        <w:tc>
          <w:tcPr>
            <w:tcW w:type="dxa" w:w="24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填充优化</w:t>
            </w:r>
          </w:p>
        </w:tc>
        <w:tc>
          <w:tcPr>
            <w:tcW w:type="dxa" w:w="17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G3</w:t>
            </w:r>
          </w:p>
        </w:tc>
        <w:tc>
          <w:tcPr>
            <w:tcW w:type="dxa" w:w="42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主对照；状态及计算优化</w:t>
            </w:r>
          </w:p>
        </w:tc>
      </w:tr>
      <w:tr>
        <w:trPr>
          <w:cantSplit/>
          <w:cantSplit/>
        </w:trPr>
        <w:tc>
          <w:tcPr>
            <w:tcW w:type="dxa" w:w="24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紧致优化</w:t>
            </w:r>
          </w:p>
        </w:tc>
        <w:tc>
          <w:tcPr>
            <w:tcW w:type="dxa" w:w="17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C3</w:t>
            </w:r>
          </w:p>
        </w:tc>
        <w:tc>
          <w:tcPr>
            <w:tcW w:type="dxa" w:w="42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主对照；在填充优化上同步紧致化关系与参数</w:t>
            </w:r>
          </w:p>
        </w:tc>
      </w:tr>
      <w:tr>
        <w:trPr>
          <w:cantSplit/>
          <w:cantSplit/>
        </w:trPr>
        <w:tc>
          <w:tcPr>
            <w:tcW w:type="dxa" w:w="24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复用组合／双层复用</w:t>
            </w:r>
          </w:p>
        </w:tc>
        <w:tc>
          <w:tcPr>
            <w:tcW w:type="dxa" w:w="17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V0／V1</w:t>
            </w:r>
          </w:p>
        </w:tc>
        <w:tc>
          <w:tcPr>
            <w:tcW w:type="dxa" w:w="42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首次准备及策略辅助实验</w:t>
            </w:r>
          </w:p>
        </w:tc>
      </w:tr>
      <w:tr>
        <w:trPr>
          <w:cantSplit/>
          <w:cantSplit/>
        </w:trPr>
        <w:tc>
          <w:tcPr>
            <w:tcW w:type="dxa" w:w="24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填充／紧致影子诊断</w:t>
            </w:r>
          </w:p>
        </w:tc>
        <w:tc>
          <w:tcPr>
            <w:tcW w:type="dxa" w:w="17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D3／DC3</w:t>
            </w:r>
          </w:p>
        </w:tc>
        <w:tc>
          <w:tcPr>
            <w:tcW w:type="dxa" w:w="42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仅记录候选浮点与回退；均返回原MPFR</w:t>
            </w:r>
          </w:p>
        </w:tc>
      </w:tr>
      <w:tr>
        <w:trPr>
          <w:cantSplit/>
          <w:cantSplit/>
        </w:trPr>
        <w:tc>
          <w:tcPr>
            <w:tcW w:type="dxa" w:w="24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重复出示／会话重建</w:t>
            </w:r>
          </w:p>
        </w:tc>
        <w:tc>
          <w:tcPr>
            <w:tcW w:type="dxa" w:w="17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steady／fresh</w:t>
            </w:r>
          </w:p>
        </w:tc>
        <w:tc>
          <w:tcPr>
            <w:tcW w:type="dxa" w:w="42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原始数据的lifecycle字段</w:t>
            </w:r>
          </w:p>
        </w:tc>
      </w:tr>
      <w:tr>
        <w:trPr>
          <w:cantSplit/>
          <w:cantSplit/>
        </w:trPr>
        <w:tc>
          <w:tcPr>
            <w:tcW w:type="dxa" w:w="24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默认／严格验证</w:t>
            </w:r>
          </w:p>
        </w:tc>
        <w:tc>
          <w:tcPr>
            <w:tcW w:type="dxa" w:w="17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raw／strict</w:t>
            </w:r>
          </w:p>
        </w:tc>
        <w:tc>
          <w:tcPr>
            <w:tcW w:type="dxa" w:w="42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原始数据的verification_mode字段</w:t>
            </w:r>
          </w:p>
        </w:tc>
      </w:tr>
      <w:tr>
        <w:trPr>
          <w:cantSplit/>
          <w:cantSplit/>
        </w:trPr>
        <w:tc>
          <w:tcPr>
            <w:tcW w:type="dxa" w:w="24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历史实验／主实验</w:t>
            </w:r>
          </w:p>
        </w:tc>
        <w:tc>
          <w:tcPr>
            <w:tcW w:type="dxa" w:w="17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E3／E4</w:t>
            </w:r>
          </w:p>
        </w:tc>
        <w:tc>
          <w:tcPr>
            <w:tcW w:type="dxa" w:w="4200"/>
            <w:tcMar>
              <w:top w:w="25" w:type="dxa"/>
              <w:left w:w="40" w:type="dxa"/>
              <w:bottom w:w="25" w:type="dxa"/>
              <w:right w:w="40" w:type="dxa"/>
              <w:top w:w="25" w:type="dxa"/>
              <w:bottom w:w="25" w:type="dxa"/>
              <w:left w:w="25" w:type="dxa"/>
              <w:right w:w="25" w:type="dxa"/>
            </w:tcMar>
            <w:vAlign w:val="center"/>
          </w:tcPr>
          <w:p>
            <w:pPr>
              <w:keepNext w:val="0"/>
              <w:spacing w:before="0" w:after="0" w:line="276" w:lineRule="auto"/>
              <w:ind w:left="0" w:right="0" w:firstLine="0"/>
              <w:jc w:val="center"/>
              <w:keepLines w:val="0"/>
              <w:snapToGrid w:val="0"/>
              <w:snapToGrid w:val="0"/>
            </w:pPr>
            <w:r>
              <w:rPr>
                <w:rFonts w:ascii="Times New Roman" w:hAnsi="Times New Roman" w:eastAsia="宋体"/>
                <w:b w:val="0"/>
                <w:color w:val="000000"/>
                <w:sz w:val="18"/>
              </w:rPr>
              <w:t xml:space="preserve">实验设计及随机币规则不同，不合并样本</w:t>
            </w:r>
          </w:p>
        </w:tc>
      </w:tr>
    </w:tbl>
    <w:p>
      <w:pPr>
        <w:spacing w:after="40" w:before="0" w:line="276" w:lineRule="auto"/>
        <w:widowControl/>
        <w:snapToGrid w:val="0"/>
      </w:pPr>
      <w:r>
        <w:t xml:space="preserve">主实验批次：e4_full_20261018_121816_c2df8c。源码起点：10eafeca4cd53ff4fc54193dce904dbd0026fefd；另核对上游：b958e247a2fdb9593b3c25c9603c6c5305c19420。独立小规模回归批次：e4_smoke_20261020_141334_cbbc35。</w:t>
      </w:r>
    </w:p>
    <w:p>
      <w:pPr>
        <w:spacing w:after="40" w:before="0" w:line="276" w:lineRule="auto"/>
        <w:widowControl/>
        <w:snapToGrid w:val="0"/>
      </w:pPr>
      <w:r>
        <w:rPr>
          <w:rFonts w:ascii="Times New Roman" w:hAnsi="Times New Roman" w:eastAsia="宋体"/>
          <w:color w:val="000000"/>
        </w:rPr>
        <w:t xml:space="preserve">code/source/run_e4.py和code/source/summarize_e4.py为原主实验及统计入口；code/regression/check_pointer_reuse.py提供地址复用测试，说明见code/README_代码复现.md。当前补实验入口为comparison/run_two_baselines.py，构建、统计分别为comparison/build_revision.py、comparison/summarize_revision.py，说明见comparison/README_ZH.md。tools/recompute_comparison.py独立复算性能汇总、分块区间并校验回执；tools/verify_submission.py另核对文件指纹、表2、域引用及图文件，无需重跑密码实验。</w:t>
      </w:r>
    </w:p>
    <w:p>
      <w:pPr>
        <w:spacing w:after="40" w:before="0" w:line="276" w:lineRule="auto"/>
        <w:widowControl/>
        <w:snapToGrid w:val="0"/>
      </w:pPr>
      <w:r>
        <w:rPr>
          <w:rFonts w:ascii="Times New Roman" w:hAnsi="Times New Roman" w:eastAsia="宋体"/>
          <w:color w:val="000000"/>
        </w:rPr>
        <w:t xml:space="preserve">data/raw/与data/derived/保留原主实验记录和汇总，analysis/original_attachment2/independent_recompute.py为原独立统计入口，data/independent_checks/保留结果。正文图1—5及图S1—S3的矢量图和导出文件见figures/{SVG,PDF,PNG}/，数据对应关系见figures/FIGURE_DATA_MAP.json，各图均提供SVG、PDF及PNG文件。数据重绘脚本为tools/plot_bw.py，精确导出脚本为tools/export_submission_figures.py。</w:t>
      </w:r>
    </w:p>
    <w:p>
      <w:pPr>
        <w:spacing w:after="40" w:before="0" w:line="276" w:lineRule="auto"/>
        <w:widowControl/>
        <w:snapToGrid w:val="0"/>
      </w:pPr>
      <w:r>
        <w:rPr>
          <w:rFonts w:ascii="Times New Roman" w:hAnsi="Times New Roman" w:eastAsia="宋体"/>
          <w:color w:val="000000"/>
        </w:rPr>
        <w:t xml:space="preserve">evidence/results/E4_MAIN_FULL_ORIGINAL.tar.gz保留主现场，raw/、verification/及specs/保留原名。固定币便捷副本为evidence/main_verification/fixed_{B1,G3,C3}_{1,2,3}.jsonl；E4_SMOKE_20261020_ORIGINAL.tar.gz与e4_cache_pointer_stress_evidence.tar.gz分别保留原回归及地址压力证据。当前双对照完整原包为evidence/results/dual_{smoke,full}_20261031_231328_653901.tar.gz，展开目录为comparison_data/{smoke,full}/。此前rev23原包只作历史证据。根目录SHA256_MANIFEST.json列明交付文件指纹。</w:t>
      </w:r>
    </w:p>
    <w:p>
      <w:pPr>
        <w:spacing w:after="40" w:before="0" w:line="276" w:lineRule="auto"/>
        <w:widowControl/>
        <w:snapToGrid w:val="0"/>
      </w:pPr>
      <w:r>
        <w:rPr>
          <w:rFonts w:ascii="Times New Roman" w:hAnsi="Times New Roman" w:eastAsia="宋体"/>
          <w:color w:val="000000"/>
        </w:rPr>
        <w:t>签发统计读取data/raw/*_main_{B1,G3,C3}.jsonl，筛选task=main、lifecycle=fresh、verification_mode=strict且非warmup，使用p1_prove_ms与p1_verify_issue_ms。浮点影子读取data/raw/0404_diagnostic_D3.jsonl与0405_diagnostic_DC3.jsonl及回执。</w:t>
      </w:r>
    </w:p>
    <w:p>
      <w:pPr>
        <w:spacing w:after="40" w:before="0" w:line="276" w:lineRule="auto"/>
        <w:widowControl/>
        <w:snapToGrid w:val="0"/>
      </w:pPr>
      <w:r>
        <w:t xml:space="preserve">影子记录的prove_counters为从0开始的计数器数组：索引16/17为标准/双峰调用，8/9为候选/回退，19为正指数回退，28/29为MPFR块纳秒，30为不一致；其它原因合计索引18及20—26。</w:t>
      </w:r>
    </w:p>
    <w:p>
      <w:pPr>
        <w:spacing w:after="40" w:before="0" w:line="276" w:lineRule="auto"/>
        <w:widowControl/>
        <w:snapToGrid w:val="0"/>
      </w:pPr>
      <w:r>
        <w:t xml:space="preserve">声明及编码接口对应：set_statement_A、set_statement_t分别更新矩阵和公开向量，set_statement同时更新二者，C层对应_lin_set_statement_A/t。poly_auto/polymat_auto计算自同构像；poly_toisoring/poly_fromisoring为母环与子环自由模的系数重排；zero_out_cols/zero_out_pols为原填充置零。证明/验证入口为lin_prover_prove/lin_verifier_verify。coder_enc_urandom4、bit_off、coder_enc_end分别编码系数、记录残余比特和写终止填充；shake128_state_t在所测构建中为208 B。</w:t>
      </w:r>
    </w:p>
    <w:p>
      <w:pPr>
        <w:spacing w:after="40" w:before="0" w:line="276" w:lineRule="auto"/>
        <w:widowControl/>
        <w:snapToGrid w:val="0"/>
      </w:pPr>
      <w:r>
        <w:rPr>
          <w:rFonts w:ascii="Times New Roman" w:hAnsi="Times New Roman" w:eastAsia="宋体"/>
          <w:color w:val="000000"/>
        </w:rPr>
        <w:t>以下源码路径相对于code/source/project/lazer/；变量名与函数名仅对应固定实现。</w:t>
      </w:r>
    </w:p>
    <w:p>
      <w:pPr>
        <w:spacing w:after="40" w:before="0" w:line="276" w:lineRule="auto"/>
        <w:widowControl/>
        <w:snapToGrid w:val="0"/>
      </w:pPr>
      <w:r>
        <w:t>代码：python/anon_cred/anon_cred.py组织签发/出示，anon_cred_params.h保存参数，lnp-tbox-codegen.sage为生成器。src/lin-proofs.c处理声明哈希与投影，src/lnp-tbox.c、src/lnp-quad.c处理约束与二次证明；poly.c的poly_scale为模乘，rejection.c的rej_standard/rej_bimodal为两类拒绝。__lnp_hash_statement_arp为声明哈希入口；polymat_redp可触发_fromcrt，后续运算再触发_tocrt；___schwartz_zippel_accumulate_z3/z4使用svR，__lnp_tbox_compute_z34准备两组响应，polyvec_scale2为挑战乘积。固定版本的方差误传位于lnp-quad.c第270行，盲化范数累加遗漏位于blindsig.c第737行；行号不适用于其他版本。tbox-&gt;m1含范数余量，局部m1=tbox-&gt;m1−Z为应用列数；nbin/nex分别为二进制约束数/第一组投影输入多项式数，索引须同步。p2_compact1_param至p2_compact8_param对应k=1至8。计时接口为perf_counter_ns/process_time_ns，控制Python不参与计时。</w:t>
      </w:r>
    </w:p>
    <w:p>
      <w:pPr>
        <w:spacing w:after="40" w:before="0" w:line="276" w:lineRule="auto"/>
        <w:keepNext/>
        <w:widowControl/>
        <w:snapToGrid w:val="0"/>
      </w:pPr>
      <w:r>
        <w:t xml:space="preserve">表</w:t>
      </w:r>
      <w:fldSimple w:instr=" REF stblS8a \h ">
        <w:r>
          <w:t>S8a</w:t>
        </w:r>
      </w:fldSimple>
      <w:r>
        <w:t xml:space="preserve">读取code/source/project/lazer/python/anon_cred/anon_cred_params.h；SHA-256为492d50261ff03acf8af524c000e24f7d7695503245c2ada84728c7b04f19e690。基础生成器位于同一lazer目录的scripts/lin-codegen.sage与scripts/lnp-tbox-codegen.sage。紧致实例由code/source/project/switch_variant.py的_generate_compact_params_block构造，经e4_select.py沿用。参数生成器显式检查位置为lnp-tbox-codegen.sage第329—357行，行号仅适用于本附件版本。表中p1_param、p2_param、p2_compact{k}_param分别为签发、填充出示及k=1…8紧致出示的源码参数名；s1_indices、Ps分别为见证与二进制约束索引。</w:t>
      </w:r>
    </w:p>
    <w:p>
      <w:pPr>
        <w:keepNext/>
        <w:spacing w:line="276" w:lineRule="auto"/>
        <w:widowControl/>
        <w:snapToGrid w:val="0"/>
      </w:pPr>
      <w:r>
        <w:rPr>
          <w:rFonts w:ascii="Times New Roman" w:hAnsi="Times New Roman" w:eastAsia="宋体"/>
          <w:b/>
          <w:color w:val="000000"/>
          <w:sz w:val="24"/>
        </w:rPr>
        <w:t/>
      </w:r>
      <w:bookmarkStart w:id="23" w:name="ssecS8"/>
      <w:r>
        <w:rPr>
          <w:rFonts w:ascii="Times New Roman" w:hAnsi="Times New Roman" w:eastAsia="宋体"/>
          <w:b/>
          <w:color w:val="000000"/>
          <w:sz w:val="24"/>
        </w:rPr>
        <w:t>S8</w:t>
      </w:r>
      <w:bookmarkEnd w:id="23"/>
      <w:r>
        <w:rPr>
          <w:rFonts w:ascii="Times New Roman" w:hAnsi="Times New Roman" w:eastAsia="宋体"/>
          <w:b/>
          <w:color w:val="000000"/>
          <w:sz w:val="24"/>
        </w:rPr>
        <w:t xml:space="preserve"> 分块复核及跨编译器与独立实现补充实验</w:t>
      </w:r>
    </w:p>
    <w:p>
      <w:pPr>
        <w:spacing w:line="276" w:lineRule="auto"/>
        <w:widowControl/>
        <w:snapToGrid w:val="0"/>
      </w:pPr>
      <w:r>
        <w:rPr>
          <w:rFonts w:ascii="Times New Roman" w:hAnsi="Times New Roman" w:eastAsia="宋体"/>
          <w:color w:val="000000"/>
        </w:rPr>
        <w:t xml:space="preserve">原strict主实验的15个（重复出示）、9个（会话重建）未改善块均伴随C3块平均K高于G3；块间K差与生成耗时差相关系数为0.99365、0.99594。统计使用全部30对块，不删负收益。该观察支持重试波动掩盖有限收益的解释，不能作完整因果归因，也不能排除缓存、调度或其他因素。以下双对照为独立新批次，不与原每组合600次的主实验合并。</w:t>
      </w:r>
    </w:p>
    <w:p>
      <w:pPr>
        <w:spacing w:line="276" w:lineRule="auto"/>
        <w:widowControl/>
        <w:snapToGrid w:val="0"/>
      </w:pPr>
      <w:r>
        <w:rPr>
          <w:rFonts w:ascii="Times New Roman" w:hAnsi="Times New Roman" w:eastAsia="宋体"/>
          <w:color w:val="000000"/>
        </w:rPr>
        <w:t xml:space="preserve">当前补实验仍在i5-13400F、Linux 6.8.0-138-generic、glibc 2.35、Python 3.10.12和CPU 0上运行。LaZer分别用GCC/G++ 11.4与Clang/Clang++ 14，两个外部实现均用GCC/G++ 11.4。统一-O3、x86-64、AVX2/AES/FMA并禁AVX-512；HEXL采用通用后端。块入口频率快照约0.80～4.60 GHz，包含空闲瞬时值，温度快照38～51 ℃，未连续监测或固定频率。不同CPU微架构、系统及内存配置尚未评估。</w:t>
      </w:r>
    </w:p>
    <w:p>
      <w:pPr>
        <w:spacing w:line="276" w:lineRule="auto"/>
        <w:widowControl/>
        <w:snapToGrid w:val="0"/>
      </w:pPr>
      <w:r>
        <w:rPr>
          <w:rFonts w:ascii="Times New Roman" w:hAnsi="Times New Roman" w:eastAsia="宋体"/>
          <w:color w:val="000000"/>
        </w:rPr>
        <w:t xml:space="preserve">full为3批×5块×26组合×20次，共7,800次正式会话：LaZer的2编译器×3变体×2生命周期共3,600次，PQZK和Argo各7条件、各2,100次；每任务2次预热另计，共780次。块内随机排列组合，各组合启新进程，LaZer均采用严格验证，外部采用各自原生验证接口。两类生命周期均在进程初生成并保留发行者密钥。steady一次签发后连续出示；fresh中，LaZer重建用户、验证者与签发者对象，PQZK重建属性、CRS及凭证，Argo重建用户密钥、属性和凭证。上述凭证准备与重新签发均在出示计时外完成，声明预处理的计时范围见下文。不同条件的凭证独立随机生成，轮/块配对不代表逐字节相同的跨实现凭证。</w:t>
      </w:r>
    </w:p>
    <w:p>
      <w:pPr>
        <w:spacing w:line="276" w:lineRule="auto"/>
        <w:widowControl/>
        <w:snapToGrid w:val="0"/>
      </w:pPr>
      <w:r>
        <w:rPr>
          <w:rFonts w:ascii="Times New Roman" w:hAnsi="Times New Roman" w:eastAsia="宋体"/>
          <w:color w:val="000000"/>
        </w:rPr>
        <w:t xml:space="preserve">full共390任务，7,800次正式会话及780次预热均接受；原始日志、JSONL与回执、spec、63项构建产物指纹及LaZer已加载库/CPU绑定核对一致。均值、进程RSS及分块区间复算一致。smoke为52次正式样本，另52次预热，不用于性能结论。六套LaZer构建各9披露子集及对象重建检查通过；另有22份固定币/通用路径探针。两外部worker首个预热样本执行预设负例检查，失败即停止；完整作业日志支持这些检查已通过，不等于全面攻击覆盖。</w:t>
      </w:r>
    </w:p>
    <w:p>
      <w:pPr>
        <w:spacing w:line="276" w:lineRule="auto"/>
        <w:keepNext/>
        <w:widowControl/>
        <w:snapToGrid w:val="0"/>
      </w:pPr>
      <w:r>
        <w:rPr>
          <w:rFonts w:ascii="Times New Roman" w:hAnsi="Times New Roman" w:eastAsia="宋体"/>
          <w:color w:val="000000"/>
        </w:rPr>
        <w:t xml:space="preserve">表</w:t>
      </w:r>
      <w:fldSimple w:instr=" REF stblS12 \h ">
        <w:r>
          <w:rPr>
            <w:rFonts w:ascii="Times New Roman" w:hAnsi="Times New Roman" w:eastAsia="宋体"/>
            <w:color w:val="000000"/>
          </w:rPr>
          <w:t xml:space="preserve">S12</w:t>
        </w:r>
      </w:fldSimple>
      <w:r>
        <w:rPr>
          <w:rFonts w:ascii="Times New Roman" w:hAnsi="Times New Roman" w:eastAsia="宋体"/>
          <w:color w:val="000000"/>
        </w:rPr>
        <w:t xml:space="preserve">列出当前LaZer结果；表</w:t>
      </w:r>
      <w:fldSimple w:instr=" REF stblS15 \h ">
        <w:r>
          <w:rPr>
            <w:rFonts w:ascii="Times New Roman" w:hAnsi="Times New Roman" w:eastAsia="宋体"/>
            <w:color w:val="000000"/>
          </w:rPr>
          <w:t xml:space="preserve">S15</w:t>
        </w:r>
      </w:fldSimple>
      <w:r>
        <w:rPr>
          <w:rFonts w:ascii="Times New Roman" w:hAnsi="Times New Roman" w:eastAsia="宋体"/>
          <w:color w:val="000000"/>
        </w:rPr>
        <w:t xml:space="preserve">完整列出两外部实现的原生/适配及禁用缓存配置，正文表2选取同批GCC的主要行。计时仅含各实现定义的出示证明生成、验证及其编码/解码；fresh及PADDED_NOCACHE计入相应声明预处理：PQZK重建证明端和验证端的出示状态，Argo重建证明端嵌入及公开验证声明；排除签发和网络。RSS为整个测试进程的累计高水位，包含初始化、签发、预热、双方状态及外部负例检查；LaZer的若干回归在单独进程执行，阶段构成不同，不能据此排名证明器内存。证明大小只计实际编码证明体，非完整网络通信。</w:t>
      </w:r>
    </w:p>
    <w:p>
      <w:pPr>
        <w:spacing w:line="276" w:lineRule="auto"/>
        <w:widowControl/>
        <w:snapToGrid w:val="0"/>
      </w:pPr>
      <w:r>
        <w:rPr>
          <w:rFonts w:ascii="Times New Roman" w:hAnsi="Times New Roman" w:eastAsia="宋体"/>
          <w:color w:val="000000"/>
        </w:rPr>
        <w:t xml:space="preserve">表</w:t>
      </w:r>
      <w:fldSimple w:instr=" REF stblS13 \h ">
        <w:r>
          <w:rPr>
            <w:rFonts w:ascii="Times New Roman" w:hAnsi="Times New Roman" w:eastAsia="宋体"/>
            <w:color w:val="000000"/>
          </w:rPr>
          <w:t xml:space="preserve">S13</w:t>
        </w:r>
      </w:fldSimple>
      <w:r>
        <w:rPr>
          <w:rFonts w:ascii="Times New Roman" w:hAnsi="Times New Roman" w:eastAsia="宋体"/>
          <w:color w:val="000000"/>
        </w:rPr>
        <w:t xml:space="preserve">以每负载15对块为单位，三批内有放回重抽25,000次，使用Python random.Random(20261030)计算均值比95%百分位区间；不剔除负收益或调整K，区间条件于所测批次。B1→G3和B1→C3在四个构建/生命周期组合均15/15块改善；G3→C3的四个总时间区间均跨零。GCC重复/重建、Clang重复/重建的证明均值分别减少621.45、620.96、621.65、622.38 B。紧致化的总时间改善未稳定建立，证明体缩减有直接数据支持。</w:t>
      </w:r>
    </w:p>
    <w:p>
      <w:pPr>
        <w:spacing w:line="276" w:lineRule="auto"/>
        <w:widowControl/>
        <w:snapToGrid w:val="0"/>
      </w:pPr>
      <w:r>
        <w:rPr>
          <w:rFonts w:ascii="Times New Roman" w:hAnsi="Times New Roman" w:eastAsia="宋体"/>
          <w:color w:val="000000"/>
        </w:rPr>
        <w:t xml:space="preserve">PQZK-BLNS取自文献[12]公开实现，提交b622225950bd1b486d96bf191eb835e60eff775f。共同输入为8属性、每属性8 B，披露D={0,4,5}；将l0=16、lm0=2改为8、1并启用盲签发。PQZK-HM保留原HM映射，PADDED/COMPACT采用输入位映射；后者没有自动补入隐藏属性的二进制证明谓词。其出示模数1125899907006629可被消息模数12289整除，与本文互素模数下的商关系编译不同。上游128位声明不能直接当作任务适配后的整协议安全等级依据。</w:t>
      </w:r>
    </w:p>
    <w:p>
      <w:pPr>
        <w:spacing w:line="276" w:lineRule="auto"/>
        <w:widowControl/>
        <w:snapToGrid w:val="0"/>
      </w:pPr>
      <w:r>
        <w:rPr>
          <w:rFonts w:ascii="Times New Roman" w:hAnsi="Times New Roman" w:eastAsia="宋体"/>
          <w:color w:val="000000"/>
        </w:rPr>
        <w:t xml:space="preserve">PQZK适配还修正盲签发证明缓冲区的重复释放，由调用方统一管理；记录实际序列化长度，并使公开维度与隐藏块数解耦，以支持填充/紧致两种表示。该修错不计为本文优化。Argo取文献[3]公开代码，适配8个属性与同一披露集合，将8 B输入放入32 B属性槽，未另外加入隐藏部分高位为零的证明约束；母环N=256、消息模数425801及出示模数234086575306343681与本文不同。两者均按公开输入构造验证状态并验证实际编码证明，保留原始源码与逐项补丁。</w:t>
      </w:r>
    </w:p>
    <w:p>
      <w:pPr>
        <w:spacing w:line="276" w:lineRule="auto"/>
        <w:widowControl/>
        <w:snapToGrid w:val="0"/>
      </w:pPr>
      <w:r>
        <w:rPr>
          <w:rFonts w:ascii="Times New Roman" w:hAnsi="Times New Roman" w:eastAsia="宋体"/>
          <w:color w:val="000000"/>
        </w:rPr>
        <w:t xml:space="preserve">Argo-NATIVE为10×32 B属性且无披露，仅作原生配置参照；PQZK-HM为按8属性配置的原生HM路径。外部P/C分别指本次PADDED/COMPACT适配，并非上游发表的性能数字。Argo使用本次实现的可解码固定宽度线格式，PQZK和LaZer使用各自编码；跨实现证明字节差异包含编码因素。原生路径、适配路径与本文内部受控比较须分别解释。</w:t>
      </w:r>
    </w:p>
    <w:p>
      <w:pPr>
        <w:spacing w:line="276" w:lineRule="auto"/>
        <w:widowControl/>
        <w:snapToGrid w:val="0"/>
      </w:pPr>
      <w:r>
        <w:rPr>
          <w:rFonts w:ascii="Times New Roman" w:hAnsi="Times New Roman" w:eastAsia="宋体"/>
          <w:b w:val="0"/>
          <w:color w:val="000000"/>
          <w:sz w:val="21"/>
        </w:rPr>
        <w:t xml:space="preserve">表</w:t>
      </w:r>
      <w:fldSimple w:instr=" REF stblS16 \h ">
        <w:r>
          <w:rPr>
            <w:rFonts w:ascii="Times New Roman" w:hAnsi="Times New Roman" w:eastAsia="宋体"/>
            <w:b w:val="0"/>
            <w:color w:val="000000"/>
            <w:sz w:val="21"/>
          </w:rPr>
          <w:t xml:space="preserve">S16</w:t>
        </w:r>
      </w:fldSimple>
      <w:r>
        <w:rPr>
          <w:rFonts w:ascii="Times New Roman" w:hAnsi="Times New Roman" w:eastAsia="宋体"/>
          <w:b w:val="0"/>
          <w:color w:val="000000"/>
          <w:sz w:val="21"/>
        </w:rPr>
        <w:t xml:space="preserve">列外部控制组。重复出示下禁用缓存至填充适配的均值降幅，PQZK为17.76%［15.68%,19.74%］、15/15块改善；Argo为1.70%［−5.10%,8.21%］、8/15块改善。填充至紧致的证明体分别固定减少1,344 B和6,144 B；PQZK重复出示时间区间下界接近零，重建及Argo两区间跨零。结果支持所测PQZK适配中的缓存收益，但不能推出所有后端都会稳定加速。B1→G3包含多项改动，不能全部归因于缓存。</w:t>
      </w:r>
    </w:p>
    <w:p>
      <w:pPr>
        <w:spacing w:line="276" w:lineRule="auto"/>
        <w:widowControl/>
        <w:snapToGrid w:val="0"/>
      </w:pPr>
      <w:r>
        <w:rPr>
          <w:rFonts w:ascii="Times New Roman" w:hAnsi="Times New Roman" w:eastAsia="宋体"/>
          <w:color w:val="000000"/>
        </w:rPr>
        <w:t xml:space="preserve">当前补实验的批次、原始包、数据目录和复算入口见S7；源码指纹、构建配置与适配差异见comparison/PROVENANCE.json及结果包的qualification.json、artifacts/和build_logs/。</w:t>
      </w:r>
    </w:p>
    <w:p>
      <w:pPr>
        <w:spacing w:line="276" w:lineRule="auto"/>
        <w:keepNext/>
        <w:widowControl/>
        <w:snapToGrid w:val="0"/>
      </w:pPr>
      <w:r>
        <w:t>表</w:t>
      </w:r>
      <w:bookmarkStart w:id="24" w:name="stblS12"/>
      <w:r>
        <w:t>S12</w:t>
      </w:r>
      <w:bookmarkEnd w:id="24"/>
      <w:r>
        <w:t xml:space="preserve"> LaZer同机补充实验结果（每组合300次）</w:t>
      </w:r>
    </w:p>
    <w:tbl xmlns:mo="http://schemas.microsoft.com/office/mac/office/2008/main" xmlns:mv="urn:schemas-microsoft-com:mac:vml">
      <w:tblPr>
        <w:tblW w:type="auto" w:w="0"/>
        <w:jc w:val="center"/>
        <w:tblLayout w:type="fixed"/>
        <w:tblLook w:firstColumn="1" w:firstRow="1" w:lastColumn="0" w:lastRow="0" w:noHBand="0" w:noVBand="1" w:val="04A0"/>
        <w:tblBorders>
          <w:top w:val="single" w:sz="6" w:color="000000"/>
          <w:left w:val="nil" w:sz="6" w:color="000000"/>
          <w:bottom w:val="single" w:sz="6" w:color="000000"/>
          <w:right w:val="nil" w:sz="6" w:color="000000"/>
          <w:insideH w:val="nil" w:sz="6" w:color="000000"/>
          <w:insideV w:val="nil" w:sz="6" w:color="000000"/>
        </w:tblBorders>
      </w:tblPr>
      <w:tblGrid>
        <w:gridCol w:w="900"/>
        <w:gridCol w:w="650"/>
        <w:gridCol w:w="600"/>
        <w:gridCol w:w="900"/>
        <w:gridCol w:w="900"/>
        <w:gridCol w:w="900"/>
        <w:gridCol w:w="1250"/>
        <w:gridCol w:w="1300"/>
      </w:tblGrid>
      <w:tr>
        <w:trPr>
          <w:cantSplit/>
          <w:tblHeader/>
        </w:trPr>
        <w:tc>
          <w:tcPr>
            <w:tcW w:type="dxa" w:w="9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构建</w:t>
            </w:r>
          </w:p>
        </w:tc>
        <w:tc>
          <w:tcPr>
            <w:tcW w:type="dxa" w:w="65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负载</w:t>
            </w:r>
          </w:p>
        </w:tc>
        <w:tc>
          <w:tcPr>
            <w:tcW w:type="dxa" w:w="6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实现</w:t>
            </w:r>
          </w:p>
        </w:tc>
        <w:tc>
          <w:tcPr>
            <w:tcW w:type="dxa" w:w="9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生成/ms</w:t>
            </w:r>
          </w:p>
        </w:tc>
        <w:tc>
          <w:tcPr>
            <w:tcW w:type="dxa" w:w="9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验证/ms</w:t>
            </w:r>
          </w:p>
        </w:tc>
        <w:tc>
          <w:tcPr>
            <w:tcW w:type="dxa" w:w="9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合计/ms</w:t>
            </w:r>
          </w:p>
        </w:tc>
        <w:tc>
          <w:tcPr>
            <w:tcW w:type="dxa" w:w="125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证明/B</w:t>
            </w:r>
          </w:p>
        </w:tc>
        <w:tc>
          <w:tcPr>
            <w:tcW w:type="dxa" w:w="13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RSS峰值/MiB</w:t>
            </w:r>
          </w:p>
        </w:tc>
      </w:tr>
      <w:tr>
        <w:trPr>
          <w:cantSplit/>
        </w:trPr>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GCC</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重复</w:t>
            </w:r>
          </w:p>
        </w:tc>
        <w:tc>
          <w:tcPr>
            <w:tcW w:type="dxa" w:w="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B1</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70.98</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30.87</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101.85</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29,115.26</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69.71</w:t>
            </w:r>
          </w:p>
        </w:tc>
      </w:tr>
      <w:tr>
        <w:trPr>
          <w:cantSplit/>
        </w:trPr>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GCC</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重复</w:t>
            </w:r>
          </w:p>
        </w:tc>
        <w:tc>
          <w:tcPr>
            <w:tcW w:type="dxa" w:w="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G3</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47.89</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17.57</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65.46</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29,116.98</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71.58</w:t>
            </w:r>
          </w:p>
        </w:tc>
      </w:tr>
      <w:tr>
        <w:trPr>
          <w:cantSplit/>
        </w:trPr>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GCC</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重复</w:t>
            </w:r>
          </w:p>
        </w:tc>
        <w:tc>
          <w:tcPr>
            <w:tcW w:type="dxa" w:w="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C3</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46.90</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16.70</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63.60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28,495.52</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69.48</w:t>
            </w:r>
          </w:p>
        </w:tc>
      </w:tr>
      <w:tr>
        <w:trPr>
          <w:cantSplit/>
        </w:trPr>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GCC</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重建</w:t>
            </w:r>
          </w:p>
        </w:tc>
        <w:tc>
          <w:tcPr>
            <w:tcW w:type="dxa" w:w="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B1</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75.99</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33.41</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109.39</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29,117.33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87.03</w:t>
            </w:r>
          </w:p>
        </w:tc>
      </w:tr>
      <w:tr>
        <w:trPr>
          <w:cantSplit/>
        </w:trPr>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GCC</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重建</w:t>
            </w:r>
          </w:p>
        </w:tc>
        <w:tc>
          <w:tcPr>
            <w:tcW w:type="dxa" w:w="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G3</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58.24</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25.48</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83.73</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29,116.60</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91.39</w:t>
            </w:r>
          </w:p>
        </w:tc>
      </w:tr>
      <w:tr>
        <w:trPr>
          <w:cantSplit/>
        </w:trPr>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GCC</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重建</w:t>
            </w:r>
          </w:p>
        </w:tc>
        <w:tc>
          <w:tcPr>
            <w:tcW w:type="dxa" w:w="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C3</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56.99</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24.64</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81.62</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28,495.63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89.73</w:t>
            </w:r>
          </w:p>
        </w:tc>
      </w:tr>
      <w:tr>
        <w:trPr>
          <w:cantSplit/>
        </w:trPr>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Clang</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重复</w:t>
            </w:r>
          </w:p>
        </w:tc>
        <w:tc>
          <w:tcPr>
            <w:tcW w:type="dxa" w:w="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B1</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71.27</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27.94</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99.21</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29,115.23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69.84</w:t>
            </w:r>
          </w:p>
        </w:tc>
      </w:tr>
      <w:tr>
        <w:trPr>
          <w:cantSplit/>
        </w:trPr>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Clang</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重复</w:t>
            </w:r>
          </w:p>
        </w:tc>
        <w:tc>
          <w:tcPr>
            <w:tcW w:type="dxa" w:w="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G3</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52.36</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18.43</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70.79</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29,115.58</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71.70</w:t>
            </w:r>
          </w:p>
        </w:tc>
      </w:tr>
      <w:tr>
        <w:trPr>
          <w:cantSplit/>
        </w:trPr>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Clang</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重复</w:t>
            </w:r>
          </w:p>
        </w:tc>
        <w:tc>
          <w:tcPr>
            <w:tcW w:type="dxa" w:w="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C3</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50.73</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17.20</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67.93</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28,493.94</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69.60</w:t>
            </w:r>
          </w:p>
        </w:tc>
      </w:tr>
      <w:tr>
        <w:trPr>
          <w:cantSplit/>
        </w:trPr>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Clang</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重建</w:t>
            </w:r>
          </w:p>
        </w:tc>
        <w:tc>
          <w:tcPr>
            <w:tcW w:type="dxa" w:w="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B1</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76.40</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30.80</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107.20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29,115.14</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87.13</w:t>
            </w:r>
          </w:p>
        </w:tc>
      </w:tr>
      <w:tr>
        <w:trPr>
          <w:cantSplit/>
        </w:trPr>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Clang</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重建</w:t>
            </w:r>
          </w:p>
        </w:tc>
        <w:tc>
          <w:tcPr>
            <w:tcW w:type="dxa" w:w="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G3</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58.80</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24.77</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83.57</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29,116.50</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91.64</w:t>
            </w:r>
          </w:p>
        </w:tc>
      </w:tr>
      <w:tr>
        <w:trPr>
          <w:cantSplit/>
        </w:trPr>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Clang</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重建</w:t>
            </w:r>
          </w:p>
        </w:tc>
        <w:tc>
          <w:tcPr>
            <w:tcW w:type="dxa" w:w="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C3</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59.96</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24.05</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84.02</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28,494.12</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89.85</w:t>
            </w:r>
          </w:p>
        </w:tc>
      </w:tr>
    </w:tbl>
    <w:p>
      <w:pPr>
        <w:spacing w:line="276" w:lineRule="auto"/>
        <w:keepNext/>
        <w:widowControl/>
        <w:snapToGrid w:val="0"/>
      </w:pPr>
      <w:r>
        <w:t>表</w:t>
      </w:r>
      <w:bookmarkStart w:id="25" w:name="stblS13"/>
      <w:r>
        <w:t>S13</w:t>
      </w:r>
      <w:bookmarkEnd w:id="25"/>
      <w:r>
        <w:t xml:space="preserve"> LaZer补充实验总时间分块收益及95% Bootstrap区间</w:t>
      </w:r>
    </w:p>
    <w:tbl xmlns:mo="http://schemas.microsoft.com/office/mac/office/2008/main" xmlns:mv="urn:schemas-microsoft-com:mac:vml">
      <w:tblPr>
        <w:tblW w:type="auto" w:w="0"/>
        <w:jc w:val="center"/>
        <w:tblLayout w:type="fixed"/>
        <w:tblLook w:firstColumn="1" w:firstRow="1" w:lastColumn="0" w:lastRow="0" w:noHBand="0" w:noVBand="1" w:val="04A0"/>
        <w:tblBorders>
          <w:top w:val="single" w:sz="6" w:color="000000"/>
          <w:left w:val="nil" w:sz="6" w:color="000000"/>
          <w:bottom w:val="single" w:sz="6" w:color="000000"/>
          <w:right w:val="nil" w:sz="6" w:color="000000"/>
          <w:insideH w:val="nil" w:sz="6" w:color="000000"/>
          <w:insideV w:val="nil" w:sz="6" w:color="000000"/>
        </w:tblBorders>
      </w:tblPr>
      <w:tblGrid>
        <w:gridCol w:w="1050"/>
        <w:gridCol w:w="800"/>
        <w:gridCol w:w="1500"/>
        <w:gridCol w:w="1300"/>
        <w:gridCol w:w="1600"/>
        <w:gridCol w:w="1250"/>
      </w:tblGrid>
      <w:tr>
        <w:trPr>
          <w:cantSplit/>
          <w:tblHeader/>
        </w:trPr>
        <w:tc>
          <w:tcPr>
            <w:tcW w:type="dxa" w:w="105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构建</w:t>
            </w:r>
          </w:p>
        </w:tc>
        <w:tc>
          <w:tcPr>
            <w:tcW w:type="dxa" w:w="8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负载</w:t>
            </w:r>
          </w:p>
        </w:tc>
        <w:tc>
          <w:tcPr>
            <w:tcW w:type="dxa" w:w="15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比较</w:t>
            </w:r>
          </w:p>
        </w:tc>
        <w:tc>
          <w:tcPr>
            <w:tcW w:type="dxa" w:w="13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均值降幅/%</w:t>
            </w:r>
          </w:p>
        </w:tc>
        <w:tc>
          <w:tcPr>
            <w:tcW w:type="dxa" w:w="16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95%区间/%</w:t>
            </w:r>
          </w:p>
        </w:tc>
        <w:tc>
          <w:tcPr>
            <w:tcW w:type="dxa" w:w="125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改善块数/块</w:t>
            </w:r>
          </w:p>
        </w:tc>
      </w:tr>
      <w:tr>
        <w:trPr>
          <w:cantSplit/>
        </w:trPr>
        <w:tc>
          <w:tcPr>
            <w:tcW w:type="dxa" w:w="10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GCC</w:t>
            </w:r>
          </w:p>
        </w:tc>
        <w:tc>
          <w:tcPr>
            <w:tcW w:type="dxa" w:w="8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重复</w:t>
            </w:r>
          </w:p>
        </w:tc>
        <w:tc>
          <w:tcPr>
            <w:tcW w:type="dxa" w:w="15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B1→G3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35.73</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[31.69, 39.95]</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15/15</w:t>
            </w:r>
          </w:p>
        </w:tc>
      </w:tr>
      <w:tr>
        <w:trPr>
          <w:cantSplit/>
        </w:trPr>
        <w:tc>
          <w:tcPr>
            <w:tcW w:type="dxa" w:w="10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GCC</w:t>
            </w:r>
          </w:p>
        </w:tc>
        <w:tc>
          <w:tcPr>
            <w:tcW w:type="dxa" w:w="8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重建</w:t>
            </w:r>
          </w:p>
        </w:tc>
        <w:tc>
          <w:tcPr>
            <w:tcW w:type="dxa" w:w="15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B1→G3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23.46</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[20.65, 26.20]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15/15</w:t>
            </w:r>
          </w:p>
        </w:tc>
      </w:tr>
      <w:tr>
        <w:trPr>
          <w:cantSplit/>
        </w:trPr>
        <w:tc>
          <w:tcPr>
            <w:tcW w:type="dxa" w:w="10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GCC</w:t>
            </w:r>
          </w:p>
        </w:tc>
        <w:tc>
          <w:tcPr>
            <w:tcW w:type="dxa" w:w="8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重复</w:t>
            </w:r>
          </w:p>
        </w:tc>
        <w:tc>
          <w:tcPr>
            <w:tcW w:type="dxa" w:w="15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B1→C3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37.55</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[34.68, 40.19]</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15/15</w:t>
            </w:r>
          </w:p>
        </w:tc>
      </w:tr>
      <w:tr>
        <w:trPr>
          <w:cantSplit/>
        </w:trPr>
        <w:tc>
          <w:tcPr>
            <w:tcW w:type="dxa" w:w="10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GCC</w:t>
            </w:r>
          </w:p>
        </w:tc>
        <w:tc>
          <w:tcPr>
            <w:tcW w:type="dxa" w:w="8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重建</w:t>
            </w:r>
          </w:p>
        </w:tc>
        <w:tc>
          <w:tcPr>
            <w:tcW w:type="dxa" w:w="15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B1→C3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25.39</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[22.74, 27.96]</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15/15</w:t>
            </w:r>
          </w:p>
        </w:tc>
      </w:tr>
      <w:tr>
        <w:trPr>
          <w:cantSplit/>
        </w:trPr>
        <w:tc>
          <w:tcPr>
            <w:tcW w:type="dxa" w:w="10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GCC</w:t>
            </w:r>
          </w:p>
        </w:tc>
        <w:tc>
          <w:tcPr>
            <w:tcW w:type="dxa" w:w="8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重复</w:t>
            </w:r>
          </w:p>
        </w:tc>
        <w:tc>
          <w:tcPr>
            <w:tcW w:type="dxa" w:w="15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G3→C3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2.84</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[-3.90, 8.96]</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7/15</w:t>
            </w:r>
          </w:p>
        </w:tc>
      </w:tr>
      <w:tr>
        <w:trPr>
          <w:cantSplit/>
        </w:trPr>
        <w:tc>
          <w:tcPr>
            <w:tcW w:type="dxa" w:w="10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GCC</w:t>
            </w:r>
          </w:p>
        </w:tc>
        <w:tc>
          <w:tcPr>
            <w:tcW w:type="dxa" w:w="8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重建</w:t>
            </w:r>
          </w:p>
        </w:tc>
        <w:tc>
          <w:tcPr>
            <w:tcW w:type="dxa" w:w="15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G3→C3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2.51</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[-0.93, 6.18]</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10/15</w:t>
            </w:r>
          </w:p>
        </w:tc>
      </w:tr>
      <w:tr>
        <w:trPr>
          <w:cantSplit/>
        </w:trPr>
        <w:tc>
          <w:tcPr>
            <w:tcW w:type="dxa" w:w="10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Clang</w:t>
            </w:r>
          </w:p>
        </w:tc>
        <w:tc>
          <w:tcPr>
            <w:tcW w:type="dxa" w:w="8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重复</w:t>
            </w:r>
          </w:p>
        </w:tc>
        <w:tc>
          <w:tcPr>
            <w:tcW w:type="dxa" w:w="15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B1→G3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28.65</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[23.47, 33.13]</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15/15</w:t>
            </w:r>
          </w:p>
        </w:tc>
      </w:tr>
      <w:tr>
        <w:trPr>
          <w:cantSplit/>
        </w:trPr>
        <w:tc>
          <w:tcPr>
            <w:tcW w:type="dxa" w:w="10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Clang</w:t>
            </w:r>
          </w:p>
        </w:tc>
        <w:tc>
          <w:tcPr>
            <w:tcW w:type="dxa" w:w="8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重建</w:t>
            </w:r>
          </w:p>
        </w:tc>
        <w:tc>
          <w:tcPr>
            <w:tcW w:type="dxa" w:w="15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B1→G3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22.05</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[17.86, 26.11]</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15/15</w:t>
            </w:r>
          </w:p>
        </w:tc>
      </w:tr>
      <w:tr>
        <w:trPr>
          <w:cantSplit/>
        </w:trPr>
        <w:tc>
          <w:tcPr>
            <w:tcW w:type="dxa" w:w="10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Clang</w:t>
            </w:r>
          </w:p>
        </w:tc>
        <w:tc>
          <w:tcPr>
            <w:tcW w:type="dxa" w:w="8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重复</w:t>
            </w:r>
          </w:p>
        </w:tc>
        <w:tc>
          <w:tcPr>
            <w:tcW w:type="dxa" w:w="15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B1→C3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31.53</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[26.26, 36.25]</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15/15</w:t>
            </w:r>
          </w:p>
        </w:tc>
      </w:tr>
      <w:tr>
        <w:trPr>
          <w:cantSplit/>
        </w:trPr>
        <w:tc>
          <w:tcPr>
            <w:tcW w:type="dxa" w:w="10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Clang</w:t>
            </w:r>
          </w:p>
        </w:tc>
        <w:tc>
          <w:tcPr>
            <w:tcW w:type="dxa" w:w="8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重建</w:t>
            </w:r>
          </w:p>
        </w:tc>
        <w:tc>
          <w:tcPr>
            <w:tcW w:type="dxa" w:w="15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B1→C3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21.63</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[17.89, 25.36]</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15/15</w:t>
            </w:r>
          </w:p>
        </w:tc>
      </w:tr>
      <w:tr>
        <w:trPr>
          <w:cantSplit/>
        </w:trPr>
        <w:tc>
          <w:tcPr>
            <w:tcW w:type="dxa" w:w="10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Clang</w:t>
            </w:r>
          </w:p>
        </w:tc>
        <w:tc>
          <w:tcPr>
            <w:tcW w:type="dxa" w:w="8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重复</w:t>
            </w:r>
          </w:p>
        </w:tc>
        <w:tc>
          <w:tcPr>
            <w:tcW w:type="dxa" w:w="15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G3→C3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4.04</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[-2.50, 9.94]</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8/15</w:t>
            </w:r>
          </w:p>
        </w:tc>
      </w:tr>
      <w:tr>
        <w:trPr>
          <w:cantSplit/>
        </w:trPr>
        <w:tc>
          <w:tcPr>
            <w:tcW w:type="dxa" w:w="10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Clang</w:t>
            </w:r>
          </w:p>
        </w:tc>
        <w:tc>
          <w:tcPr>
            <w:tcW w:type="dxa" w:w="8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重建</w:t>
            </w:r>
          </w:p>
        </w:tc>
        <w:tc>
          <w:tcPr>
            <w:tcW w:type="dxa" w:w="15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G3→C3</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-0.54</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[-4.44, 3.10]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9/15</w:t>
            </w:r>
          </w:p>
        </w:tc>
      </w:tr>
    </w:tbl>
    <w:p>
      <w:pPr>
        <w:keepNext/>
        <w:widowControl/>
        <w:spacing w:line="276" w:lineRule="auto"/>
      </w:pPr>
      <w:r>
        <w:t>表</w:t>
      </w:r>
      <w:bookmarkStart w:id="26" w:name="stblS14"/>
      <w:r>
        <w:t>S14</w:t>
      </w:r>
      <w:bookmarkEnd w:id="26"/>
      <w:r>
        <w:t xml:space="preserve"> 应用任务及未对齐条件</w:t>
      </w:r>
    </w:p>
    <w:tbl xmlns:mo="http://schemas.microsoft.com/office/mac/office/2008/main" xmlns:mv="urn:schemas-microsoft-com:mac:vml">
      <w:tblPr>
        <w:tblW w:type="auto" w:w="0"/>
        <w:jc w:val="center"/>
        <w:tblLayout w:type="fixed"/>
        <w:tblLook w:firstColumn="1" w:firstRow="1" w:lastColumn="0" w:lastRow="0" w:noHBand="0" w:noVBand="1" w:val="04A0"/>
        <w:tblBorders>
          <w:top w:val="single" w:sz="6" w:color="000000"/>
          <w:left w:val="nil" w:sz="6" w:color="000000"/>
          <w:bottom w:val="single" w:sz="6" w:color="000000"/>
          <w:right w:val="nil" w:sz="6" w:color="000000"/>
          <w:insideH w:val="nil" w:sz="6" w:color="000000"/>
          <w:insideV w:val="nil" w:sz="6" w:color="000000"/>
        </w:tblBorders>
      </w:tblPr>
      <w:tblGrid>
        <w:gridCol w:w="1000"/>
        <w:gridCol w:w="2100"/>
        <w:gridCol w:w="2100"/>
        <w:gridCol w:w="2100"/>
      </w:tblGrid>
      <w:tr>
        <w:trPr>
          <w:cantSplit/>
          <w:tblHeader/>
        </w:trPr>
        <w:tc>
          <w:tcPr>
            <w:tcW w:type="dxa" w:w="10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维度</w:t>
            </w:r>
          </w:p>
        </w:tc>
        <w:tc>
          <w:tcPr>
            <w:tcW w:type="dxa" w:w="21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本文LaZer路径</w:t>
            </w:r>
          </w:p>
        </w:tc>
        <w:tc>
          <w:tcPr>
            <w:tcW w:type="dxa" w:w="21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PQZK-BLNS路径</w:t>
            </w:r>
          </w:p>
        </w:tc>
        <w:tc>
          <w:tcPr>
            <w:tcW w:type="dxa" w:w="21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Argo路径</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适配输入</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8属性×8 B；D={0,4,5}</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同一输入规模与披露集</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同一输入规模与披露集</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隐藏属性表示</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二进制属性及二进制证明约束</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位映射未增加隐藏位二进制证明谓词</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8 B放入32 B槽；未另证隐藏高位为零</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签名构造</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Falcon-512母环；64次子环表示</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独立BLNS框架、签名及范数参数</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不同签名/标签结构，母环N=256</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消息/出示模数</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p=12289；q₂=1125899906843221</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q₀=12289；</w:t>
            </w:r>
            <w:r>
              <w:rPr>
                <w:rFonts w:ascii="Times New Roman" w:hAnsi="Times New Roman" w:eastAsia="宋体"/>
                <w:b w:val="0"/>
                <w:color w:val="000000"/>
                <w:sz w:val="18"/>
              </w:rPr>
              <w:br/>
              <w:t>q₂_hat=</w:t>
            </w:r>
            <w:r>
              <w:rPr>
                <w:rFonts w:ascii="Times New Roman" w:hAnsi="Times New Roman" w:eastAsia="宋体"/>
                <w:b w:val="0"/>
                <w:color w:val="000000"/>
                <w:sz w:val="18"/>
              </w:rPr>
              <w:br/>
              <w:t>1125899907006629</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p=425801；</w:t>
            </w:r>
            <w:r>
              <w:rPr>
                <w:rFonts w:ascii="Times New Roman" w:hAnsi="Times New Roman" w:eastAsia="宋体"/>
                <w:b w:val="0"/>
                <w:color w:val="000000"/>
                <w:sz w:val="18"/>
              </w:rPr>
              <w:br/>
              <w:t>q_show=</w:t>
            </w:r>
            <w:r>
              <w:rPr>
                <w:rFonts w:ascii="Times New Roman" w:hAnsi="Times New Roman" w:eastAsia="宋体"/>
                <w:b w:val="0"/>
                <w:color w:val="000000"/>
                <w:sz w:val="18"/>
              </w:rPr>
              <w:br/>
              <w:t>234086575306343681</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关系编译</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互素模数下的整数商关系及范围检查</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证明模数为消息模数整数倍的嵌入</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沿用自身嵌入及证明结构</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会话绑定</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沿用原FS声明；未新增认证nonce防重放</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沿用nonce绑定；有限改动负例检查</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沿用CRS/用户公钥种子等绑定与负例检查</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证明大小</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LaZer编码证明体</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实际序列化证明体</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本次固定宽度编码证明体</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安全依据</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第S4节单项模型；非整协议位数认证</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原声明目标与当前适配安全匹配未独立建立</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当前适配安全匹配未独立建立</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结果用途</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内部受控比较支持本文优化增量</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所列适配/原生配置的工程参照</w:t>
            </w:r>
          </w:p>
        </w:tc>
        <w:tc>
          <w:tcPr>
            <w:tcW w:type="dxa" w:w="21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所列适配/原生配置的工程参照</w:t>
            </w:r>
          </w:p>
        </w:tc>
      </w:tr>
    </w:tbl>
    <w:p>
      <w:pPr>
        <w:spacing w:line="276" w:lineRule="auto"/>
        <w:widowControl/>
        <w:snapToGrid w:val="0"/>
      </w:pPr>
      <w:r>
        <w:rPr>
          <w:rFonts w:ascii="Times New Roman" w:hAnsi="Times New Roman" w:eastAsia="宋体"/>
          <w:color w:val="000000"/>
        </w:rPr>
        <w:t xml:space="preserve">不同协议无需机械地使所有内部维数逐值相同，但须给出共同应用关系和可比安全目标的依据。当前位映射、槽位填充及有限变异检查不能代替缺失的隐藏谓词；原生模数与签名结构也不能只改宏定义便视为匹配。进一步统一需要重新构造相应关系、生成参数并核查安全条件，然后重新测量。这些实验比较同平台、同输入规模下的适配配置；严格同参数及匹配安全等级的对应尚未建立。</w:t>
      </w:r>
    </w:p>
    <w:p>
      <w:pPr>
        <w:keepNext/>
        <w:widowControl/>
        <w:spacing w:line="276" w:lineRule="auto"/>
      </w:pPr>
      <w:r>
        <w:rPr>
          <w:rFonts w:ascii="Times New Roman" w:hAnsi="Times New Roman" w:eastAsia="宋体"/>
          <w:color w:val="000000"/>
        </w:rPr>
        <w:t xml:space="preserve">表</w:t>
      </w:r>
      <w:bookmarkStart w:id="9001" w:name="stblS15"/>
      <w:r>
        <w:rPr>
          <w:rFonts w:ascii="Times New Roman" w:hAnsi="Times New Roman" w:eastAsia="宋体"/>
          <w:color w:val="000000"/>
        </w:rPr>
        <w:t xml:space="preserve">S15</w:t>
      </w:r>
      <w:bookmarkEnd w:id="9001"/>
      <w:r>
        <w:rPr>
          <w:rFonts w:ascii="Times New Roman" w:hAnsi="Times New Roman" w:eastAsia="宋体"/>
          <w:color w:val="000000"/>
        </w:rPr>
        <w:t xml:space="preserve"> 外部原生及适配配置的完整实测（GCC，每组合300次）</w:t>
      </w:r>
    </w:p>
    <w:tbl xmlns:mo="http://schemas.microsoft.com/office/mac/office/2008/main" xmlns:mv="urn:schemas-microsoft-com:mac:vml">
      <w:tblPr>
        <w:tblW w:type="auto" w:w="0"/>
        <w:jc w:val="center"/>
        <w:tblLayout w:type="fixed"/>
        <w:tblLook w:firstColumn="1" w:firstRow="1" w:lastColumn="0" w:lastRow="0" w:noHBand="0" w:noVBand="1" w:val="04A0"/>
        <w:tblBorders>
          <w:top w:val="single" w:sz="6" w:color="000000"/>
          <w:left w:val="nil" w:sz="6" w:color="000000"/>
          <w:bottom w:val="single" w:sz="6" w:color="000000"/>
          <w:right w:val="nil" w:sz="6" w:color="000000"/>
          <w:insideH w:val="nil" w:sz="6" w:color="000000"/>
          <w:insideV w:val="nil" w:sz="6" w:color="000000"/>
        </w:tblBorders>
      </w:tblPr>
      <w:tblGrid>
        <w:gridCol w:w="1600"/>
        <w:gridCol w:w="650"/>
        <w:gridCol w:w="900"/>
        <w:gridCol w:w="900"/>
        <w:gridCol w:w="900"/>
        <w:gridCol w:w="1200"/>
        <w:gridCol w:w="1250"/>
      </w:tblGrid>
      <w:tr>
        <w:trPr>
          <w:cantSplit/>
          <w:tblHeader/>
        </w:trPr>
        <w:tc>
          <w:tcPr>
            <w:tcW w:type="dxa" w:w="16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实现/配置</w:t>
            </w:r>
          </w:p>
        </w:tc>
        <w:tc>
          <w:tcPr>
            <w:tcW w:type="dxa" w:w="65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负载</w:t>
            </w:r>
          </w:p>
        </w:tc>
        <w:tc>
          <w:tcPr>
            <w:tcW w:type="dxa" w:w="9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生成/ms</w:t>
            </w:r>
          </w:p>
        </w:tc>
        <w:tc>
          <w:tcPr>
            <w:tcW w:type="dxa" w:w="9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验证/ms</w:t>
            </w:r>
          </w:p>
        </w:tc>
        <w:tc>
          <w:tcPr>
            <w:tcW w:type="dxa" w:w="9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合计/ms</w:t>
            </w:r>
          </w:p>
        </w:tc>
        <w:tc>
          <w:tcPr>
            <w:tcW w:type="dxa" w:w="12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证明/B</w:t>
            </w:r>
          </w:p>
        </w:tc>
        <w:tc>
          <w:tcPr>
            <w:tcW w:type="dxa" w:w="125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7"/>
              </w:rPr>
              <w:t>RSS峰值/MiB</w:t>
            </w:r>
          </w:p>
        </w:tc>
      </w:tr>
      <w:tr>
        <w:trPr>
          <w:cantSplit/>
        </w:trPr>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PQZK-HM</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重复</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122.87</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67.00</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189.87</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89,153.00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50.22</w:t>
            </w:r>
          </w:p>
        </w:tc>
      </w:tr>
      <w:tr>
        <w:trPr>
          <w:cantSplit/>
        </w:trPr>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PQZK-HM</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重建</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120.48</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68.04</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188.53</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89,153.00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50.22</w:t>
            </w:r>
          </w:p>
        </w:tc>
      </w:tr>
      <w:tr>
        <w:trPr>
          <w:cantSplit/>
        </w:trPr>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PQZK-P</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重复</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109.33</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55.55</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164.87</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90,497.00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93.71</w:t>
            </w:r>
          </w:p>
        </w:tc>
      </w:tr>
      <w:tr>
        <w:trPr>
          <w:cantSplit/>
        </w:trPr>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PQZK-P</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重建</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124.26</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72.31</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196.57</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90,497.00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93.64</w:t>
            </w:r>
          </w:p>
        </w:tc>
      </w:tr>
      <w:tr>
        <w:trPr>
          <w:cantSplit/>
        </w:trPr>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PQZK-C</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重复</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106.20</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53.57</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159.77</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89,153.00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89.73</w:t>
            </w:r>
          </w:p>
        </w:tc>
      </w:tr>
      <w:tr>
        <w:trPr>
          <w:cantSplit/>
        </w:trPr>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PQZK-C</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重建</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122.88</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69.54</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192.42</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89,153.00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89.73</w:t>
            </w:r>
          </w:p>
        </w:tc>
      </w:tr>
      <w:tr>
        <w:trPr>
          <w:cantSplit/>
        </w:trPr>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PQZK-P无缓存</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重复</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127.12</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73.36</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200.48</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90,497.00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93.70</w:t>
            </w:r>
          </w:p>
        </w:tc>
      </w:tr>
      <w:tr>
        <w:trPr>
          <w:cantSplit/>
        </w:trPr>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Argo-NATIVE</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重复</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419.36</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172.48</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591.83</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169,988.00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55.80</w:t>
            </w:r>
          </w:p>
        </w:tc>
      </w:tr>
      <w:tr>
        <w:trPr>
          <w:cantSplit/>
        </w:trPr>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Argo-NATIVE</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重建</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435.85</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173.15</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609.00</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169,988.00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54.56</w:t>
            </w:r>
          </w:p>
        </w:tc>
      </w:tr>
      <w:tr>
        <w:trPr>
          <w:cantSplit/>
        </w:trPr>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Argo-P</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重复</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403.55</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165.03</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568.58</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165,892.00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54.22</w:t>
            </w:r>
          </w:p>
        </w:tc>
      </w:tr>
      <w:tr>
        <w:trPr>
          <w:cantSplit/>
        </w:trPr>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Argo-P</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重建</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399.15</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166.25</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565.40</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165,892.00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54.10</w:t>
            </w:r>
          </w:p>
        </w:tc>
      </w:tr>
      <w:tr>
        <w:trPr>
          <w:cantSplit/>
        </w:trPr>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Argo-C</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重复</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385.70</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159.56</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545.26</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159,748.00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52.41</w:t>
            </w:r>
          </w:p>
        </w:tc>
      </w:tr>
      <w:tr>
        <w:trPr>
          <w:cantSplit/>
        </w:trPr>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Argo-C</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重建</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389.41</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161.36</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550.77</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159,748.00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52.21</w:t>
            </w:r>
          </w:p>
        </w:tc>
      </w:tr>
      <w:tr>
        <w:trPr>
          <w:cantSplit/>
        </w:trPr>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Argo-P无缓存</w:t>
            </w:r>
          </w:p>
        </w:tc>
        <w:tc>
          <w:tcPr>
            <w:tcW w:type="dxa" w:w="6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重复</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412.00</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166.43</w:t>
            </w:r>
          </w:p>
        </w:tc>
        <w:tc>
          <w:tcPr>
            <w:tcW w:type="dxa" w:w="9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578.42</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165,892.00</w:t>
            </w:r>
          </w:p>
        </w:tc>
        <w:tc>
          <w:tcPr>
            <w:tcW w:type="dxa" w:w="125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7"/>
              </w:rPr>
              <w:t>54.14</w:t>
            </w:r>
          </w:p>
        </w:tc>
      </w:tr>
    </w:tbl>
    <w:p>
      <w:pPr>
        <w:keepNext/>
        <w:widowControl/>
        <w:spacing w:line="276" w:lineRule="auto"/>
      </w:pPr>
      <w:r>
        <w:rPr>
          <w:rFonts w:ascii="Times New Roman" w:hAnsi="Times New Roman" w:eastAsia="宋体"/>
          <w:color w:val="000000"/>
        </w:rPr>
        <w:t xml:space="preserve">表</w:t>
      </w:r>
      <w:bookmarkStart w:id="9002" w:name="stblS16"/>
      <w:r>
        <w:rPr>
          <w:rFonts w:ascii="Times New Roman" w:hAnsi="Times New Roman" w:eastAsia="宋体"/>
          <w:color w:val="000000"/>
        </w:rPr>
        <w:t xml:space="preserve">S16</w:t>
      </w:r>
      <w:bookmarkEnd w:id="9002"/>
      <w:r>
        <w:rPr>
          <w:rFonts w:ascii="Times New Roman" w:hAnsi="Times New Roman" w:eastAsia="宋体"/>
          <w:color w:val="000000"/>
        </w:rPr>
        <w:t xml:space="preserve"> 外部适配的缓存及紧致化总时间增量</w:t>
      </w:r>
    </w:p>
    <w:tbl xmlns:mo="http://schemas.microsoft.com/office/mac/office/2008/main" xmlns:mv="urn:schemas-microsoft-com:mac:vml">
      <w:tblPr>
        <w:tblW w:type="auto" w:w="0"/>
        <w:jc w:val="center"/>
        <w:tblLayout w:type="fixed"/>
        <w:tblLook w:firstColumn="1" w:firstRow="1" w:lastColumn="0" w:lastRow="0" w:noHBand="0" w:noVBand="1" w:val="04A0"/>
        <w:tblBorders>
          <w:top w:val="single" w:sz="6" w:color="000000"/>
          <w:left w:val="nil" w:sz="6" w:color="000000"/>
          <w:bottom w:val="single" w:sz="6" w:color="000000"/>
          <w:right w:val="nil" w:sz="6" w:color="000000"/>
          <w:insideH w:val="nil" w:sz="6" w:color="000000"/>
          <w:insideV w:val="nil" w:sz="6" w:color="000000"/>
        </w:tblBorders>
      </w:tblPr>
      <w:tblGrid>
        <w:gridCol w:w="1000"/>
        <w:gridCol w:w="700"/>
        <w:gridCol w:w="1700"/>
        <w:gridCol w:w="1300"/>
        <w:gridCol w:w="1600"/>
        <w:gridCol w:w="1200"/>
      </w:tblGrid>
      <w:tr>
        <w:trPr>
          <w:cantSplit/>
          <w:tblHeader/>
        </w:trPr>
        <w:tc>
          <w:tcPr>
            <w:tcW w:type="dxa" w:w="10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实现</w:t>
            </w:r>
          </w:p>
        </w:tc>
        <w:tc>
          <w:tcPr>
            <w:tcW w:type="dxa" w:w="7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负载</w:t>
            </w:r>
          </w:p>
        </w:tc>
        <w:tc>
          <w:tcPr>
            <w:tcW w:type="dxa" w:w="17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比较</w:t>
            </w:r>
          </w:p>
        </w:tc>
        <w:tc>
          <w:tcPr>
            <w:tcW w:type="dxa" w:w="13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均值降幅/%</w:t>
            </w:r>
          </w:p>
        </w:tc>
        <w:tc>
          <w:tcPr>
            <w:tcW w:type="dxa" w:w="16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95%区间/%</w:t>
            </w:r>
          </w:p>
        </w:tc>
        <w:tc>
          <w:tcPr>
            <w:tcW w:type="dxa" w:w="1200"/>
            <w:vAlign w:val="center"/>
            <w:tcMar>
              <w:top w:w="10" w:type="dxa"/>
              <w:bottom w:w="10" w:type="dxa"/>
              <w:left w:w="30" w:type="dxa"/>
              <w:right w:w="30" w:type="dxa"/>
            </w:tcMar>
            <w:tcBorders>
              <w:bottom w:val="single" w:sz="4" w:color="000000"/>
            </w:tcBorders>
          </w:tcPr>
          <w:p>
            <w:pPr>
              <w:spacing w:before="20" w:after="20" w:line="252" w:lineRule="auto"/>
              <w:jc w:val="center"/>
            </w:pPr>
            <w:r>
              <w:rPr>
                <w:rFonts w:ascii="Times New Roman" w:hAnsi="Times New Roman" w:eastAsia="宋体"/>
                <w:b/>
                <w:color w:val="000000"/>
                <w:sz w:val="18"/>
              </w:rPr>
              <w:t>改善块数/块</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PQZK</w:t>
            </w:r>
          </w:p>
        </w:tc>
        <w:tc>
          <w:tcPr>
            <w:tcW w:type="dxa" w:w="7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重复</w:t>
            </w:r>
          </w:p>
        </w:tc>
        <w:tc>
          <w:tcPr>
            <w:tcW w:type="dxa" w:w="17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填充→紧致</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3.09</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[0.06, 6.15]</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10/15</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PQZK</w:t>
            </w:r>
          </w:p>
        </w:tc>
        <w:tc>
          <w:tcPr>
            <w:tcW w:type="dxa" w:w="7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重建</w:t>
            </w:r>
          </w:p>
        </w:tc>
        <w:tc>
          <w:tcPr>
            <w:tcW w:type="dxa" w:w="17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填充→紧致</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2.11</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[-0.96, 4.77]</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10/15</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Argo</w:t>
            </w:r>
          </w:p>
        </w:tc>
        <w:tc>
          <w:tcPr>
            <w:tcW w:type="dxa" w:w="7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重复</w:t>
            </w:r>
          </w:p>
        </w:tc>
        <w:tc>
          <w:tcPr>
            <w:tcW w:type="dxa" w:w="17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填充→紧致</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4.10</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[-1.52, 9.57]</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8/15</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Argo</w:t>
            </w:r>
          </w:p>
        </w:tc>
        <w:tc>
          <w:tcPr>
            <w:tcW w:type="dxa" w:w="7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重建</w:t>
            </w:r>
          </w:p>
        </w:tc>
        <w:tc>
          <w:tcPr>
            <w:tcW w:type="dxa" w:w="17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填充→紧致</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2.59</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[-5.28, 9.34]</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8/15</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PQZK</w:t>
            </w:r>
          </w:p>
        </w:tc>
        <w:tc>
          <w:tcPr>
            <w:tcW w:type="dxa" w:w="7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重复</w:t>
            </w:r>
          </w:p>
        </w:tc>
        <w:tc>
          <w:tcPr>
            <w:tcW w:type="dxa" w:w="17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无缓存→填充</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17.76</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[15.68, 19.74]</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15/15</w:t>
            </w:r>
          </w:p>
        </w:tc>
      </w:tr>
      <w:tr>
        <w:trPr>
          <w:cantSplit/>
        </w:trPr>
        <w:tc>
          <w:tcPr>
            <w:tcW w:type="dxa" w:w="10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Argo</w:t>
            </w:r>
          </w:p>
        </w:tc>
        <w:tc>
          <w:tcPr>
            <w:tcW w:type="dxa" w:w="7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重复</w:t>
            </w:r>
          </w:p>
        </w:tc>
        <w:tc>
          <w:tcPr>
            <w:tcW w:type="dxa" w:w="17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无缓存→填充</w:t>
            </w:r>
          </w:p>
        </w:tc>
        <w:tc>
          <w:tcPr>
            <w:tcW w:type="dxa" w:w="13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1.70</w:t>
            </w:r>
          </w:p>
        </w:tc>
        <w:tc>
          <w:tcPr>
            <w:tcW w:type="dxa" w:w="16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[-5.10, 8.21]</w:t>
            </w:r>
          </w:p>
        </w:tc>
        <w:tc>
          <w:tcPr>
            <w:tcW w:type="dxa" w:w="1200"/>
            <w:vAlign w:val="center"/>
            <w:tcMar>
              <w:top w:w="10" w:type="dxa"/>
              <w:bottom w:w="10" w:type="dxa"/>
              <w:left w:w="30" w:type="dxa"/>
              <w:right w:w="30" w:type="dxa"/>
            </w:tcMar>
          </w:tcPr>
          <w:p>
            <w:pPr>
              <w:spacing w:before="20" w:after="20" w:line="252" w:lineRule="auto"/>
              <w:jc w:val="center"/>
            </w:pPr>
            <w:r>
              <w:rPr>
                <w:rFonts w:ascii="Times New Roman" w:hAnsi="Times New Roman" w:eastAsia="宋体"/>
                <w:b w:val="0"/>
                <w:color w:val="000000"/>
                <w:sz w:val="18"/>
              </w:rPr>
              <w:t>8/15</w:t>
            </w:r>
          </w:p>
        </w:tc>
      </w:tr>
    </w:tbl>
    <w:p>
      <w:pPr>
        <w:spacing w:line="276" w:lineRule="auto"/>
        <w:widowControl/>
        <w:snapToGrid w:val="0"/>
      </w:pPr>
      <w:r>
        <w:rPr>
          <w:rFonts w:ascii="Times New Roman" w:hAnsi="Times New Roman" w:eastAsia="宋体"/>
          <w:color w:val="000000"/>
        </w:rPr>
        <w:t xml:space="preserve">上述区间未作跨全部比较的多重检验校正；PQZK重复出示紧致化区间下界接近零，应与其重建结果一并解释。完整原始记录保留所有正式样本和预热标记，不删慢样本或负收益块。</w:t>
      </w:r>
    </w:p>
    <w:sectPr w:rsidR="00223A64">
      <w:type w:val="continuous"/>
      <w:pgSz w:w="11906" w:h="16838"/>
      <w:pgMar w:top="1440" w:right="1800" w:bottom="1440" w:left="1800" w:header="0" w:footer="0" w:gutter="0"/>
      <w:cols w:num="1" w:space="424"/>
      <w:formProt w:val="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宋体">
    <w:altName w:val="SimSun"/>
    <w:panose1 w:val="02010600030101010101"/>
    <w:charset w:val="86"/>
    <w:family w:val="auto"/>
    <w:pitch w:val="variable"/>
    <w:sig w:usb0="00000203" w:usb1="288F0000" w:usb2="00000016" w:usb3="00000000" w:csb0="00040001" w:csb1="00000000"/>
  </w:font>
  <w:font w:name="Noto Sans">
    <w:charset w:val="00"/>
    <w:family w:val="swiss"/>
    <w:pitch w:val="variable"/>
    <w:sig w:usb0="E00082FF" w:usb1="400078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华文行楷">
    <w:altName w:val="微软雅黑"/>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autoHyphenation/>
  <w:hyphenationZone w:val="0"/>
  <w:characterSpacingControl w:val="doNotCompress"/>
  <w:compat>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A64"/>
    <w:rsid w:val="00223A64"/>
    <w:rsid w:val="0076546F"/>
    <w:rsid w:val="00E729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EEF682A"/>
  <w15:docId w15:val="{99F1C3F1-50C4-499F-AD06-6546B6652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Theme="minorEastAsia" w:hAnsi="Liberation Serif" w:cs="Noto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color w:val="000000"/>
      <w:kern w:val="2"/>
      <w:sz w:val="21"/>
      <w:szCs w:val="21"/>
      <w:lang w:bidi="ar-SA"/>
    </w:rPr>
  </w:style>
  <w:style w:type="character" w:default="1" w:styleId="a0">
    <w:name w:val="Default Paragraph Font"/>
    <w:uiPriority w:val="1"/>
    <w:semiHidden/>
    <w:unhideWhenUsed/>
    <w:rPr>
      <w:color w:val="000000"/>
    </w:rPr>
  </w:style>
  <w:style w:type="table" w:default="1" w:styleId="a1">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igh-light-bg4">
    <w:name w:val="high-light-bg4"/>
    <w:basedOn w:val="a0"/>
    <w:qFormat/>
    <w:rPr>
      <w:color w:val="000000"/>
    </w:rPr>
  </w:style>
  <w:style w:type="character" w:customStyle="1" w:styleId="Char">
    <w:name w:val="批注框文本 Char"/>
    <w:qFormat/>
    <w:rPr>
      <w:color w:val="000000"/>
      <w:sz w:val="18"/>
      <w:szCs w:val="18"/>
    </w:rPr>
  </w:style>
  <w:style w:type="character" w:customStyle="1" w:styleId="Char0">
    <w:name w:val="页眉 Char"/>
    <w:qFormat/>
    <w:rPr>
      <w:color w:val="000000"/>
      <w:sz w:val="18"/>
      <w:szCs w:val="18"/>
    </w:rPr>
  </w:style>
  <w:style w:type="character" w:customStyle="1" w:styleId="Char1">
    <w:name w:val="页脚 Char"/>
    <w:qFormat/>
    <w:rPr>
      <w:color w:val="000000"/>
      <w:sz w:val="18"/>
      <w:szCs w:val="18"/>
    </w:rPr>
  </w:style>
  <w:style w:type="character" w:styleId="a3">
    <w:name w:val="Hyperlink"/>
    <w:rPr>
      <w:strike w:val="0"/>
      <w:dstrike w:val="0"/>
      <w:color w:val="000000"/>
      <w:u w:val="none"/>
    </w:rPr>
  </w:style>
  <w:style w:type="character" w:customStyle="1" w:styleId="style11">
    <w:name w:val="style11"/>
    <w:qFormat/>
    <w:rPr>
      <w:b/>
      <w:bCs/>
      <w:color w:val="000000"/>
    </w:rPr>
  </w:style>
  <w:style w:type="paragraph" w:customStyle="1" w:styleId="Heading">
    <w:name w:val="Heading"/>
    <w:basedOn w:val="a"/>
    <w:next w:val="a4"/>
    <w:qFormat/>
    <w:pPr>
      <w:keepNext/>
      <w:spacing w:before="240" w:after="120"/>
    </w:pPr>
    <w:rPr>
      <w:rFonts w:ascii="Liberation Sans" w:eastAsia="Noto Sans" w:hAnsi="Liberation Sans" w:cs="Noto Sans"/>
      <w:color w:val="000000"/>
      <w:sz w:val="28"/>
      <w:szCs w:val="28"/>
    </w:rPr>
  </w:style>
  <w:style w:type="paragraph" w:styleId="a4">
    <w:name w:val="Body Text"/>
    <w:basedOn w:val="a"/>
    <w:pPr>
      <w:spacing w:after="140" w:line="276" w:lineRule="auto"/>
    </w:pPr>
    <w:rPr>
      <w:color w:val="000000"/>
    </w:rPr>
  </w:style>
  <w:style w:type="paragraph" w:styleId="a5">
    <w:name w:val="List"/>
    <w:basedOn w:val="a4"/>
    <w:rPr>
      <w:color w:val="000000"/>
    </w:rPr>
  </w:style>
  <w:style w:type="paragraph" w:styleId="a6">
    <w:name w:val="caption"/>
    <w:basedOn w:val="a"/>
    <w:next w:val="a"/>
    <w:qFormat/>
    <w:rPr>
      <w:color w:val="000000"/>
    </w:rPr>
  </w:style>
  <w:style w:type="paragraph" w:customStyle="1" w:styleId="Index">
    <w:name w:val="Index"/>
    <w:basedOn w:val="a"/>
    <w:qFormat/>
    <w:pPr>
      <w:suppressLineNumbers/>
    </w:pPr>
    <w:rPr>
      <w:color w:val="000000"/>
    </w:rPr>
  </w:style>
  <w:style w:type="paragraph" w:styleId="a7">
    <w:name w:val="Balloon Text"/>
    <w:basedOn w:val="a"/>
    <w:qFormat/>
    <w:rPr>
      <w:color w:val="000000"/>
      <w:kern w:val="0"/>
      <w:sz w:val="18"/>
      <w:szCs w:val="18"/>
    </w:rPr>
  </w:style>
  <w:style w:type="paragraph" w:customStyle="1" w:styleId="HeaderandFooter">
    <w:name w:val="Header and Footer"/>
    <w:basedOn w:val="a"/>
    <w:qFormat/>
    <w:pPr>
      <w:suppressLineNumbers/>
      <w:tabs>
        <w:tab w:val="center" w:pos="4819"/>
        <w:tab w:val="right" w:pos="9638"/>
      </w:tabs>
    </w:pPr>
    <w:rPr>
      <w:color w:val="000000"/>
    </w:rPr>
  </w:style>
  <w:style w:type="paragraph" w:styleId="a8">
    <w:name w:val="header"/>
    <w:basedOn w:val="a"/>
    <w:pPr>
      <w:pBdr>
        <w:bottom w:val="single" w:sz="6" w:space="1" w:color="000000"/>
      </w:pBdr>
      <w:tabs>
        <w:tab w:val="center" w:pos="4153"/>
        <w:tab w:val="right" w:pos="8306"/>
      </w:tabs>
      <w:snapToGrid w:val="0"/>
      <w:jc w:val="center"/>
    </w:pPr>
    <w:rPr>
      <w:color w:val="000000"/>
      <w:kern w:val="0"/>
      <w:sz w:val="18"/>
      <w:szCs w:val="18"/>
    </w:rPr>
  </w:style>
  <w:style w:type="paragraph" w:styleId="a9">
    <w:name w:val="footer"/>
    <w:basedOn w:val="a"/>
    <w:pPr>
      <w:tabs>
        <w:tab w:val="center" w:pos="4153"/>
        <w:tab w:val="right" w:pos="8306"/>
      </w:tabs>
      <w:snapToGrid w:val="0"/>
      <w:jc w:val="left"/>
    </w:pPr>
    <w:rPr>
      <w:color w:val="000000"/>
      <w:kern w:val="0"/>
      <w:sz w:val="18"/>
      <w:szCs w:val="18"/>
    </w:rPr>
  </w:style>
  <w:style w:type="paragraph" w:customStyle="1" w:styleId="FrameContents">
    <w:name w:val="Frame Contents"/>
    <w:basedOn w:val="a"/>
    <w:qFormat/>
    <w:rPr>
      <w:color w:val="000000"/>
    </w:rPr>
  </w:style>
  <w:style w:type="paragraph" w:customStyle="1" w:styleId="TableContents">
    <w:name w:val="Table Contents"/>
    <w:basedOn w:val="a"/>
    <w:qFormat/>
    <w:pPr>
      <w:suppressLineNumbers/>
    </w:pPr>
    <w:rPr>
      <w:color w:val="000000"/>
    </w:rPr>
  </w:style>
  <w:style w:type="paragraph" w:customStyle="1" w:styleId="TableHeading">
    <w:name w:val="Table Heading"/>
    <w:basedOn w:val="TableContents"/>
    <w:qFormat/>
    <w:pPr>
      <w:jc w:val="center"/>
    </w:pPr>
    <w:rPr>
      <w:b/>
      <w:bCs/>
      <w:color w:val="000000"/>
    </w:rPr>
  </w:style>
  <w:style w:type="paragraph" w:customStyle="1" w:styleId="1">
    <w:name w:val="标题1"/>
    <w:basedOn w:val="a"/>
    <w:rPr>
      <w:rFonts w:eastAsia="华文行楷"/>
      <w:color w:val="000000"/>
      <w:sz w:val="44"/>
      <w:szCs w:val="44"/>
    </w:rPr>
  </w:style>
  <w:style w:type="paragraph" w:customStyle="1" w:styleId="CDE">
    <w:name w:val="CDE 一级标题"/>
    <w:basedOn w:val="a"/>
    <w:rPr>
      <w:rFonts w:eastAsia="黑体"/>
      <w:color w:val="000000"/>
      <w:sz w:val="28"/>
      <w:szCs w:val="28"/>
    </w:rPr>
  </w:style>
  <w:style w:type="paragraph" w:customStyle="1" w:styleId="CDE0">
    <w:name w:val="CDE 二级标题"/>
    <w:basedOn w:val="a"/>
    <w:rPr>
      <w:rFonts w:eastAsia="黑体"/>
      <w:color w:val="000000"/>
    </w:rPr>
  </w:style>
  <w:style w:type="paragraph" w:customStyle="1" w:styleId="Title">
    <w:name w:val="Title"/>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11" Type="http://schemas.openxmlformats.org/officeDocument/2006/relationships/fontTable" Target="fontTable.xml"/><Relationship Id="rId9" Type="http://schemas.openxmlformats.org/officeDocument/2006/relationships/image" Target="media/image6.png"/><Relationship Id="rIdMainReferences" Type="http://schemas.openxmlformats.org/officeDocument/2006/relationships/hyperlink" Target="%E6%AD%A3%E6%96%87_%E5%BC%95%E7%94%A8%E5%85%AC%E5%BC%8F%E4%BF%AE%E6%AD%A3%E7%89%88.docx" TargetMode="External"/><Relationship Id="rId4" Type="http://schemas.openxmlformats.org/officeDocument/2006/relationships/image" Target="media/lazer_vector_1.svg"/><Relationship Id="rId5" Type="http://schemas.openxmlformats.org/officeDocument/2006/relationships/image" Target="media/lazer_vector_2.svg"/><Relationship Id="rId6" Type="http://schemas.openxmlformats.org/officeDocument/2006/relationships/image" Target="media/lazer_vector_3.svg"/><Relationship Id="rId13" Type="http://schemas.openxmlformats.org/officeDocument/2006/relationships/hyperlink" Target="https://github.com/freakchan1212/lazer-credential-artifacts"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10441</Words>
  <Characters>17125</Characters>
  <Application>Microsoft Office Word</Application>
  <DocSecurity>0</DocSecurity>
  <Lines>951</Lines>
  <Paragraphs>475</Paragraphs>
  <ScaleCrop>false</ScaleCrop>
  <Company/>
  <LinksUpToDate>false</LinksUpToDate>
  <CharactersWithSpaces>27091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面向重复出示与选择性披露的 LaZer 匿名凭证实现优化</dc:title>
  <dc:subject>第二篇小论文 Word 模板迁移</dc:subject>
  <dc:creator>陈帅</dc:creator>
  <cp:keywords>LaZer; 匿名凭证; 选择性披露; 实现优化</cp:keywords>
  <dc:description/>
  <cp:lastModifiedBy/>
  <cp:revision>2</cp:revision>
  <cp:lastPrinted>2016-10-26T15:41:00Z</cp:lastPrinted>
  <dcterms:created xsi:type="dcterms:W3CDTF">2026-10-22T12:05:00Z</dcterms:created>
  <dcterms:modified xsi:type="dcterms:W3CDTF">2026-10-22T12:05:00Z</dcterms:modified>
  <dc:language>en-US</dc:language>
</cp:coreProperties>
</file>