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FB38" w14:textId="77777777" w:rsidR="00223A64" w:rsidRDefault="00000000">
      <w:pPr>
        <w:pStyle w:val="Title"/>
        <w:widowControl/>
        <w:snapToGrid w:val="0"/>
        <w:spacing w:after="100" w:line="276" w:lineRule="auto"/>
        <w:jc w:val="center"/>
      </w:pPr>
      <w:r>
        <w:rPr>
          <w:rFonts w:ascii="Times New Roman" w:hAnsi="Times New Roman" w:eastAsia="华文行楷"/>
          <w:b w:val="0"/>
          <w:sz w:val="44"/>
        </w:rPr>
        <w:t>面向重复出示与选择性披露的</w:t>
        <w:br/>
        <w:t>LaZer匿名凭证实现优化</w:t>
      </w:r>
    </w:p>
    <w:p w14:paraId="5A1C73ED" w14:textId="77777777" w:rsidR="00223A64" w:rsidRDefault="00000000">
      <w:pPr>
        <w:widowControl/>
        <w:snapToGrid w:val="0"/>
        <w:spacing w:after="60" w:line="276" w:lineRule="auto"/>
        <w:jc w:val="center"/>
      </w:pPr>
      <w:r>
        <w:rPr>
          <w:sz w:val="24"/>
          <w:szCs w:val="24"/>
        </w:rPr>
        <w:t>陈帅</w:t>
      </w:r>
    </w:p>
    <w:p w14:paraId="10982A1C" w14:textId="77777777" w:rsidR="00223A64" w:rsidRDefault="00000000">
      <w:pPr>
        <w:widowControl/>
        <w:snapToGrid w:val="0"/>
        <w:spacing w:after="80" w:line="276" w:lineRule="auto"/>
        <w:jc w:val="center"/>
      </w:pPr>
      <w:proofErr w:type="gramStart"/>
      <w:r>
        <w:rPr>
          <w:rFonts w:eastAsia="楷体"/>
          <w:sz w:val="21"/>
        </w:rPr>
        <w:t>(</w:t>
      </w:r>
      <w:r>
        <w:rPr>
          <w:rFonts w:eastAsia="楷体"/>
          <w:sz w:val="21"/>
        </w:rPr>
        <w:t>江苏</w:t>
      </w:r>
      <w:proofErr w:type="gramEnd"/>
      <w:r>
        <w:rPr>
          <w:rFonts w:eastAsia="楷体"/>
          <w:sz w:val="21"/>
        </w:rPr>
        <w:t>科技大学</w:t>
      </w:r>
      <w:r>
        <w:rPr>
          <w:rFonts w:eastAsia="楷体"/>
          <w:sz w:val="21"/>
        </w:rPr>
        <w:t xml:space="preserve"> </w:t>
      </w:r>
      <w:r>
        <w:rPr>
          <w:rFonts w:eastAsia="楷体"/>
          <w:sz w:val="21"/>
        </w:rPr>
        <w:t>计算机</w:t>
      </w:r>
      <w:proofErr w:type="gramStart"/>
      <w:r>
        <w:rPr>
          <w:rFonts w:eastAsia="楷体"/>
          <w:sz w:val="21"/>
        </w:rPr>
        <w:t>学院</w:t>
      </w:r>
      <w:r>
        <w:rPr>
          <w:rFonts w:eastAsia="楷体"/>
          <w:sz w:val="21"/>
        </w:rPr>
        <w:t>,</w:t>
      </w:r>
      <w:proofErr w:type="gramEnd"/>
      <w:r>
        <w:rPr>
          <w:rFonts w:eastAsia="楷体"/>
          <w:sz w:val="21"/>
        </w:rPr>
        <w:t xml:space="preserve"> </w:t>
      </w:r>
      <w:r>
        <w:rPr>
          <w:rFonts w:eastAsia="楷体"/>
          <w:sz w:val="21"/>
        </w:rPr>
        <w:t>镇江</w:t>
      </w:r>
      <w:r>
        <w:rPr>
          <w:rFonts w:eastAsia="楷体"/>
          <w:sz w:val="21"/>
        </w:rPr>
        <w:t xml:space="preserve"> </w:t>
      </w:r>
      <w:proofErr w:type="gramStart"/>
      <w:r>
        <w:rPr>
          <w:rFonts w:eastAsia="楷体"/>
          <w:sz w:val="21"/>
        </w:rPr>
        <w:t>212003)</w:t>
      </w:r>
      <w:proofErr w:type="gramEnd"/>
    </w:p>
    <w:p w14:paraId="389433F0" w14:textId="77777777" w:rsidR="00223A64" w:rsidRDefault="00000000">
      <w:pPr>
        <w:widowControl/>
        <w:snapToGrid w:val="0"/>
        <w:spacing w:after="80" w:line="276" w:lineRule="auto"/>
        <w:jc w:val="left"/>
      </w:pPr>
      <w:r>
        <w:rPr>
          <w:rFonts w:eastAsia="楷体"/>
        </w:rPr>
        <w:t>通讯</w:t>
      </w:r>
      <w:proofErr w:type="gramStart"/>
      <w:r>
        <w:rPr>
          <w:rFonts w:eastAsia="楷体"/>
        </w:rPr>
        <w:t>作者</w:t>
      </w:r>
      <w:r>
        <w:rPr>
          <w:rFonts w:eastAsia="楷体"/>
        </w:rPr>
        <w:t>:</w:t>
      </w:r>
      <w:proofErr w:type="gramEnd"/>
      <w:r>
        <w:rPr>
          <w:rFonts w:eastAsia="楷体"/>
        </w:rPr>
        <w:t xml:space="preserve"> </w:t>
      </w:r>
      <w:r>
        <w:rPr>
          <w:rFonts w:eastAsia="楷体"/>
        </w:rPr>
        <w:t>陈帅</w:t>
      </w:r>
      <w:r>
        <w:rPr>
          <w:rFonts w:eastAsia="楷体"/>
        </w:rPr>
        <w:t>, E-mail: 241210704101@stu.just.edu.cn</w:t>
      </w:r>
    </w:p>
    <w:p w14:paraId="289947C5" w14:textId="77777777" w:rsidR="00223A64" w:rsidRDefault="00000000">
      <w:pPr>
        <w:widowControl/>
        <w:snapToGrid w:val="0"/>
        <w:spacing w:after="40" w:line="276" w:lineRule="auto"/>
      </w:pPr>
      <w:r>
        <w:rPr>
          <w:rFonts w:eastAsia="楷体"/>
          <w:sz w:val="21"/>
        </w:rPr>
        <w:t xml:space="preserve">摘 要  针对格基匿名凭证重复出示的声明准备开销与公开零坐标冗余，提出LaZer协同实现优化方法。复用声明、未终止SHAKE128前缀及中国剩余定理状态，同步裁剪见证、关系列、二进制约束与参数，以整数守卫简化计算并保留原任意精度浮点拒绝判定。给出前缀一致性、零坐标子集见证对应及定宽运算条件。三批随机交错实验共7,200次会话，覆盖重复出示、会话重建及默认、严格验证。严格验证下，两类生命周期的本地生成与验证合计耗时分别降低38.89%和26.21%，不含签发、初始化及网络；紧致化相对填充优化额外降低3.83%和6.87%，前者Bootstrap区间跨零且有负收益块。披露三个属性时，三个固定随机币实例减少617～635 B。该方法降低了所测单机、单线程的本地出示开销，紧致化时间收益受生命周期与测量波动影响。</w:t>
      </w:r>
    </w:p>
    <w:p w14:paraId="1B631248" w14:textId="77777777" w:rsidR="00223A64" w:rsidRDefault="00000000">
      <w:pPr>
        <w:widowControl/>
        <w:snapToGrid w:val="0"/>
        <w:spacing w:after="40" w:line="276" w:lineRule="auto"/>
      </w:pPr>
      <w:r>
        <w:rPr>
          <w:rFonts w:eastAsia="楷体"/>
          <w:sz w:val="21"/>
        </w:rPr>
        <w:t>关键词：后量子密码；格基匿名凭证；</w:t>
      </w:r>
      <w:proofErr w:type="spellStart"/>
      <w:r>
        <w:rPr>
          <w:rFonts w:eastAsia="楷体"/>
          <w:sz w:val="21"/>
        </w:rPr>
        <w:t>LaZer</w:t>
      </w:r>
      <w:proofErr w:type="spellEnd"/>
      <w:r>
        <w:rPr>
          <w:rFonts w:eastAsia="楷体"/>
          <w:sz w:val="21"/>
        </w:rPr>
        <w:t>；选择性披露；实现优化</w:t>
      </w:r>
    </w:p>
    <w:p w14:paraId="42C11319" w14:textId="77777777" w:rsidR="00223A64" w:rsidRDefault="00000000">
      <w:pPr>
        <w:widowControl/>
        <w:snapToGrid w:val="0"/>
        <w:spacing w:after="40" w:line="276" w:lineRule="auto"/>
      </w:pPr>
      <w:r>
        <w:t>中图分类号：</w:t>
      </w:r>
      <w:r>
        <w:t>TN918.</w:t>
      </w:r>
      <w:proofErr w:type="gramStart"/>
      <w:r>
        <w:t>1</w:t>
      </w:r>
      <w:r>
        <w:t xml:space="preserve">　　文献标识码</w:t>
      </w:r>
      <w:proofErr w:type="gramEnd"/>
      <w:r>
        <w:t>：</w:t>
      </w:r>
      <w:r>
        <w:t>A</w:t>
      </w:r>
    </w:p>
    <w:p w14:paraId="04066FBE" w14:textId="77777777" w:rsidR="00223A64" w:rsidRDefault="00000000">
      <w:pPr>
        <w:widowControl/>
        <w:snapToGrid w:val="0"/>
        <w:spacing w:before="80" w:after="80" w:line="276" w:lineRule="auto"/>
        <w:jc w:val="center"/>
      </w:pPr>
      <w:r>
        <w:rPr>
          <w:sz w:val="30"/>
          <w:szCs w:val="30"/>
        </w:rPr>
        <w:t xml:space="preserve">Optimizing </w:t>
      </w:r>
      <w:proofErr w:type="spellStart"/>
      <w:r>
        <w:rPr>
          <w:sz w:val="30"/>
          <w:szCs w:val="30"/>
        </w:rPr>
        <w:t>LaZer</w:t>
      </w:r>
      <w:proofErr w:type="spellEnd"/>
      <w:r>
        <w:rPr>
          <w:sz w:val="30"/>
          <w:szCs w:val="30"/>
        </w:rPr>
        <w:t xml:space="preserve"> Anonymous Credentials for Repeated Presentation and Selective Disclosure</w:t>
      </w:r>
    </w:p>
    <w:p w14:paraId="05F96E58" w14:textId="77777777" w:rsidR="00223A64" w:rsidRDefault="00000000">
      <w:pPr>
        <w:widowControl/>
        <w:snapToGrid w:val="0"/>
        <w:spacing w:after="50" w:line="276" w:lineRule="auto"/>
        <w:jc w:val="center"/>
      </w:pPr>
      <w:r>
        <w:t>CHEN Shuai</w:t>
      </w:r>
    </w:p>
    <w:p w14:paraId="4D0AE0C9" w14:textId="77777777" w:rsidR="00223A64" w:rsidRDefault="00000000">
      <w:pPr>
        <w:widowControl/>
        <w:snapToGrid w:val="0"/>
        <w:spacing w:after="50" w:line="276" w:lineRule="auto"/>
        <w:jc w:val="center"/>
      </w:pPr>
      <w:r>
        <w:rPr>
          <w:i/>
        </w:rPr>
        <w:t>(School of Computer Science, Jiangsu University of Science and Technology, Zhenjiang 212003, China)</w:t>
      </w:r>
    </w:p>
    <w:p w14:paraId="355E6F6A" w14:textId="77777777" w:rsidR="00223A64" w:rsidRDefault="00000000">
      <w:pPr>
        <w:widowControl/>
        <w:snapToGrid w:val="0"/>
        <w:spacing w:after="40" w:line="276" w:lineRule="auto"/>
      </w:pPr>
      <w:r>
        <w:t xml:space="preserve">Abstract: We optimize LaZer credential presentations to reduce repeated statement preparation and public zero-coordinate redundancy. Statement, unfinished SHAKE128-prefix, and Chinese remainder theorem states are reused; witnesses, relation columns, and binary constraints are pruned with matching parameter specialization. Guarded arithmetic retains original arbitrary-precision floating-point rejection decisions. We specify prefix-consistency, zero-coordinate witness-correspondence, and arithmetic-range conditions. Three randomly interleaved batches comprise 7,200 sessions across repeated presentation/session reconstruction and default/strict verification. Strict local proving plus verification time falls by 38.89%/26.21%, excluding issuance, initialization, and networking. Compaction adds 3.83%/6.87% mean reductions over padded optimization; the former Bootstrap interval crosses zero with some blocks regressing. Three fixed-randomness instances disclosing three attributes save 617–635 proof bytes. Local overhead falls on the tested machine with single-threaded execution; compaction timing benefits vary with lifecycle and measurement variability.</w:t>
      </w:r>
    </w:p>
    <w:p w14:paraId="02E4FAAC" w14:textId="77777777" w:rsidR="00223A64" w:rsidRDefault="00000000">
      <w:pPr>
        <w:widowControl/>
        <w:snapToGrid w:val="0"/>
        <w:spacing w:after="40" w:line="276" w:lineRule="auto"/>
      </w:pPr>
      <w:r>
        <w:t xml:space="preserve">Key words: post-quantum cryptography; lattice-based anonymous credentials; </w:t>
      </w:r>
      <w:proofErr w:type="spellStart"/>
      <w:r>
        <w:t>LaZer</w:t>
      </w:r>
      <w:proofErr w:type="spellEnd"/>
      <w:r>
        <w:t>; selective disclosure; implementation optimization</w:t>
      </w:r>
    </w:p>
    <w:p>
      <w:pPr>
        <w:spacing w:line="20" w:lineRule="exact" w:before="0" w:after="0"/>
        <w:sectPr w:rsidR="00223A64">
          <w:type w:val="continuous"/>
          <w:pgSz w:w="11906" w:h="16838"/>
          <w:pgMar w:top="1440" w:right="1800" w:bottom="1440" w:left="1800" w:header="0" w:footer="0" w:gutter="0"/>
          <w:cols w:num="1" w:space="424"/>
          <w:formProt w:val="0"/>
          <w:docGrid w:type="lines" w:linePitch="312"/>
        </w:sectPr>
      </w:pPr>
    </w:p>
    <w:p w14:paraId="047F24F0" w14:textId="77777777" w:rsidR="00223A64" w:rsidRDefault="00000000">
      <w:pPr>
        <w:keepNext/>
        <w:widowControl/>
        <w:snapToGrid w:val="0"/>
        <w:spacing w:before="80" w:after="50" w:line="276" w:lineRule="auto"/>
      </w:pPr>
      <w:r>
        <w:rPr>
          <w:rFonts w:eastAsia="黑体"/>
          <w:sz w:val="21"/>
          <w:szCs w:val="28"/>
        </w:rPr>
        <w:t xml:space="preserve">引言</w:t>
      </w:r>
    </w:p>
    <w:p w14:paraId="1CB8AF61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匿名凭证允许选择性披露并隐藏其余属性。同一发行者域内的重复出示须使用新鲜随机性，但相同声明可复用。本文在编码、范围和生命周期约束下，减少固定BLNS/LaZer路径的静态准备及公开零坐标开销。</w:t>
      </w:r>
    </w:p>
    <w:p w14:paraId="742CEBCF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格基凭证的模格路线及实现见[1—3]，截断/标签友好采样见[4,5]，更紧近似范围证明见[6]。本文保留采样器和范围证明，优化固定LaZer路径的状态及公开零坐标，不主张首次缩短见证或优化LNP22，不作跨平台倍率比较。</w:t>
      </w:r>
    </w:p>
    <w:p w14:paraId="380BDBA2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BLNS23[7]结合NTRU陷门、辅助原像条件及LNP22[8]；LaZer[9]用Falcon-512[10]及64次子环，其参数化能力是本文特化的基础。后端[11]、独立实现[12]及紧归约[13]未同机实例化，不叠加其安全或性能结论。</w:t>
      </w:r>
    </w:p>
    <w:p w14:paraId="1EC1493D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本文适配三方面：（1）复用Python/C、未终止SHAKE128及CRT状态；（2）同步裁剪公开零坐标、关系列、二进制索引及参数；（3）以守卫和回退简化计算，保留MPFR。状态复制[14]、定宽计算[3,12]、提前检查[15,16]及惰性浮点[17]已有；本文增量在编码连续性、缓存失效及关系特化的协同实现与交错评估。</w:t>
      </w:r>
    </w:p>
    <w:p w14:paraId="2D8FC89F" w14:textId="77777777" w:rsidR="00223A64" w:rsidRDefault="00000000">
      <w:pPr>
        <w:keepNext/>
        <w:widowControl/>
        <w:snapToGrid w:val="0"/>
        <w:spacing w:before="80" w:after="50" w:line="276" w:lineRule="auto"/>
      </w:pPr>
      <w:r>
        <w:rPr>
          <w:rFonts w:eastAsia="黑体"/>
          <w:sz w:val="28"/>
          <w:szCs w:val="28"/>
        </w:rPr>
        <w:t xml:space="preserve">1 </w:t>
      </w:r>
      <w:r>
        <w:rPr>
          <w:rFonts w:eastAsia="黑体"/>
          <w:sz w:val="28"/>
          <w:szCs w:val="28"/>
        </w:rPr>
        <w:t>协议背景与基线修正</w:t>
      </w:r>
    </w:p>
    <w:p w14:paraId="00104738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1.1 签发与出示关系</w:t>
      </w:r>
    </w:p>
    <w:p w14:paraId="0B88DF74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设</w:t>
      </w:r>
      <m:oMath>
        <m:r>
          <w:rPr>
            <w:rFonts w:ascii="Cambria Math" w:eastAsia="Cambria Math" w:hAnsi="Cambria Math" w:cs="Cambria Math"/>
          </w:rPr>
          <m:t>d</m:t>
        </m:r>
      </m:oMath>
      <w:r>
        <w:t xml:space="preserve">为2的幂，</w:t>
      </w:r>
      <m:oMath>
        <m:r>
          <w:rPr>
            <w:rFonts w:ascii="Cambria Math" w:eastAsia="Cambria Math" w:hAnsi="Cambria Math" w:cs="Cambria Math"/>
          </w:rPr>
          <m:t>R</m:t>
        </m:r>
        <m:r>
          <m:rPr>
            <m:scr m:val="double-struck"/>
            <m:sty m:val="p"/>
          </m:rPr>
          <w:rPr>
            <w:rFonts w:ascii="Cambria Math" w:eastAsia="Cambria Math" w:hAnsi="Cambria Math" w:cs="Cambria Math"/>
          </w:rPr>
          <m:t>=Z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</m:oMath>
      <w:r>
        <w:t xml:space="preserve">，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 xml:space="preserve">为奇数，范数按展开的整数系数计算，系数取中心化代表元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-⌊</m:t>
            </m:r>
            <m:r>
              <w:rPr>
                <w:rFonts w:ascii="Cambria Math" w:eastAsia="Cambria Math" w:hAnsi="Cambria Math" w:cs="Cambria Math"/>
              </w:rPr>
              <m:t>q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/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⌋,⌊</m:t>
            </m:r>
            <m:r>
              <w:rPr>
                <w:rFonts w:ascii="Cambria Math" w:eastAsia="Cambria Math" w:hAnsi="Cambria Math" w:cs="Cambria Math"/>
              </w:rPr>
              <m:t>q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/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⌋</m:t>
            </m:r>
          </m:e>
        </m:d>
      </m:oMath>
      <w:r>
        <w:t xml:space="preserve">。自同构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1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 </m:t>
        </m:r>
        <m:r>
          <m:rPr>
            <m:sty m:val="p"/>
          </m:rPr>
          <w:rPr>
            <w:rFonts w:ascii="Cambria Math" w:eastAsia="Cambria Math" w:hAnsi="Cambria Math" w:cs="Cambria Math"/>
          </w:rPr>
          <m:t>mod</m:t>
        </m:r>
        <m:r>
          <w:rPr>
            <w:rFonts w:ascii="Cambria Math" w:eastAsia="Cambria Math" w:hAnsi="Cambria Math" w:cs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</m:oMath>
      <w:r>
        <w:t xml:space="preserve">用于矩阵像。Falcon母环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512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</m:oMath>
      <w:r>
        <w:t xml:space="preserve">、</w:t>
      </w:r>
      <m:oMath>
        <m:r>
          <w:rPr>
            <w:rFonts w:ascii="Cambria Math" w:eastAsia="Cambria Math" w:hAnsi="Cambria Math" w:cs="Cambria Math"/>
          </w:rPr>
          <m:t>p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12289</m:t>
        </m:r>
      </m:oMath>
      <w:r>
        <w:t xml:space="preserve">；证明子环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Y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64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</m:oMath>
      <w:r>
        <w:t xml:space="preserve">，</w:t>
      </w:r>
      <m:oMath>
        <m:r>
          <w:rPr>
            <w:rFonts w:ascii="Cambria Math" w:eastAsia="Cambria Math" w:hAnsi="Cambria Math" w:cs="Cambria Math"/>
          </w:rPr>
          <m:t>Y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p>
      </m:oMath>
      <w:r>
        <w:t xml:space="preserve">。系数重排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=</m:t>
            </m:r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i</m:t>
                </m:r>
              </m:sup>
            </m:sSup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8</m:t>
                </m:r>
              </m:sup>
            </m:sSup>
          </m:e>
        </m:d>
      </m:oMath>
      <w:r>
        <w:t xml:space="preserve">给出母环到子环上秩8自由模的线性双射，而非逐分量乘法的环同构。公钥乘法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pk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表示为</w:t>
      </w:r>
      <m:oMath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8</m:t>
        </m:r>
      </m:oMath>
      <w:r>
        <w:t xml:space="preserve">矩阵乘法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</w:rPr>
              <m:t>8</m:t>
            </m:r>
          </m:sub>
        </m:sSub>
      </m:oMath>
      <w:r>
        <w:t xml:space="preserve">。</w:t>
      </w:r>
      <w:r>
        <w:t xml:space="preserve">编码位宽记为</w:t>
      </w:r>
      <m:oMath>
        <m:sSub>
          <m:e>
            <m:r>
              <m:t>b</m:t>
            </m:r>
          </m:e>
          <m:sub>
            <m:r>
              <m:t>q</m:t>
            </m:r>
          </m:sub>
        </m:sSub>
        <m:r>
          <m:t>=⌈log₂q⌉</m:t>
        </m:r>
      </m:oMath>
      <w:r>
        <w:t xml:space="preserve">；矩阵B₁不同于下文基线代号B1。</w:t>
      </w:r>
    </w:p>
    <w:p w14:paraId="66111E55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8属性（64字节）编码为</w:t>
      </w:r>
      <m:oMath>
        <m:r>
          <w:rPr>
            <w:rFonts w:ascii="Cambria Math" w:eastAsia="Cambria Math" w:hAnsi="Cambria Math" w:cs="Cambria Math"/>
          </w:rPr>
          <m:t>m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bSup>
      </m:oMath>
      <w:r>
        <w:t xml:space="preserve">，公共矩阵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r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8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×</m:t>
            </m:r>
            <m:r>
              <w:rPr>
                <w:rFonts w:ascii="Cambria Math" w:eastAsia="Cambria Math" w:hAnsi="Cambria Math" w:cs="Cambria Math"/>
              </w:rPr>
              <m:t>16</m:t>
            </m:r>
          </m:sup>
        </m:sSubSup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8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×</m:t>
            </m:r>
            <m:r>
              <w:rPr>
                <w:rFonts w:ascii="Cambria Math" w:eastAsia="Cambria Math" w:hAnsi="Cambria Math" w:cs="Cambria Math"/>
              </w:rPr>
              <m:t>8</m:t>
            </m:r>
          </m:sup>
        </m:sSubSup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τ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8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×</m:t>
            </m:r>
            <m:r>
              <w:rPr>
                <w:rFonts w:ascii="Cambria Math" w:eastAsia="Cambria Math" w:hAnsi="Cambria Math" w:cs="Cambria Math"/>
              </w:rPr>
              <m:t>8</m:t>
            </m:r>
          </m:sup>
        </m:sSubSup>
      </m:oMath>
      <w:r>
        <w:t xml:space="preserve">。P1取</w:t>
      </w:r>
      <m:oMath>
        <m:r>
          <w:rPr>
            <w:rFonts w:ascii="Cambria Math" w:eastAsia="Cambria Math" w:hAnsi="Cambria Math" w:cs="Cambria Math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16</m:t>
            </m:r>
          </m:sup>
        </m:sSubSup>
      </m:oMath>
      <w:r>
        <w:t xml:space="preserve"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</w:rPr>
              <m:t>r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3.1</m:t>
        </m:r>
      </m:oMath>
      <w:r>
        <w:t xml:space="preserve">、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∥</m:t>
        </m:r>
        <m:r>
          <w:rPr>
            <w:rFonts w:ascii="Cambria Math" w:eastAsia="Cambria Math" w:hAnsi="Cambria Math" w:cs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∥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109</m:t>
        </m:r>
      </m:oMath>
      <w:r>
        <w:t xml:space="preserve">，承诺</w:t>
      </w:r>
      <m:oMath>
        <m:r>
          <w:rPr>
            <w:rFonts w:ascii="Cambria Math" w:eastAsia="Cambria Math" w:hAnsi="Cambria Math" w:cs="Cambria Math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r</m:t>
            </m:r>
          </m:sub>
        </m:sSub>
        <m:r>
          <w:rPr>
            <w:rFonts w:ascii="Cambria Math" w:eastAsia="Cambria Math" w:hAnsi="Cambria Math" w:cs="Cambria Math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m</m:t>
            </m:r>
          </m:sub>
        </m:sSub>
        <m:r>
          <w:rPr>
            <w:rFonts w:ascii="Cambria Math" w:eastAsia="Cambria Math" w:hAnsi="Cambria Math" w:cs="Cambria Math"/>
          </w:rPr>
          <m:t>m</m:t>
        </m:r>
      </m:oMath>
      <w:r>
        <w:t xml:space="preserve">并在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</m:oMath>
      <w:r>
        <w:t xml:space="preserve">证明线性/范数约束；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64</m:t>
        </m:r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2199023255717</m:t>
        </m:r>
        <m:r>
          <m:rPr>
            <m:sty m:val="p"/>
          </m:rPr>
          <w:rPr>
            <w:rFonts w:ascii="Cambria Math" w:eastAsia="Cambria Math" w:hAnsi="Cambria Math" w:cs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41</m:t>
            </m:r>
          </m:sup>
        </m:sSup>
      </m:oMath>
      <w:r>
        <w:t xml:space="preserve">、编码位宽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42</m:t>
        </m:r>
      </m:oMath>
      <w:r>
        <w:t xml:space="preserve">。验证后取标签</w:t>
      </w:r>
      <m:oMath>
        <m:r>
          <w:rPr>
            <w:rFonts w:ascii="Cambria Math" w:eastAsia="Cambria Math" w:hAnsi="Cambria Math" w:cs="Cambria Math"/>
          </w:rPr>
          <m:t>τ</m:t>
        </m:r>
        <m:r>
          <m:rPr>
            <m:sty m:val="p"/>
          </m:rPr>
          <w:rPr>
            <w:rFonts w:ascii="Cambria Math" w:eastAsia="Cambria Math" w:hAnsi="Cambria Math" w:cs="Cambria Math"/>
          </w:rPr>
          <m:t>∈{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}</m:t>
            </m:r>
          </m:e>
          <m:sup>
            <m:r>
              <w:rPr>
                <w:rFonts w:ascii="Cambria Math" w:eastAsia="Cambria Math" w:hAnsi="Cambria Math" w:cs="Cambria Math"/>
              </w:rPr>
              <m:t>8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×</m:t>
            </m:r>
            <m:r>
              <w:rPr>
                <w:rFonts w:ascii="Cambria Math" w:eastAsia="Cambria Math" w:hAnsi="Cambria Math" w:cs="Cambria Math"/>
              </w:rPr>
              <m:t>64</m:t>
            </m:r>
          </m:sup>
        </m:sSup>
      </m:oMath>
      <w:r>
        <w:t xml:space="preserve">，逆映射回母环调用Falcon采样，再映射为短原像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16</m:t>
            </m:r>
          </m:sup>
        </m:sSubSup>
      </m:oMath>
      <w:r>
        <w:t xml:space="preserve">满足式（1）。</w:t>
      </w:r>
    </w:p>
    <w:tbl>
      <w:tblPr>
        <w:tblW w:w="39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5" w:type="dxa"/>
          <w:left w:w="30" w:type="dxa"/>
          <w:bottom w:w="35" w:type="dxa"/>
          <w:right w:w="30" w:type="dxa"/>
        </w:tblCellMar>
        <w:tblLook w:val="0000" w:firstRow="0" w:lastRow="0" w:firstColumn="0" w:lastColumn="0" w:noHBand="0" w:noVBand="0"/>
      </w:tblPr>
      <w:tblGrid>
        <w:gridCol w:w="80"/>
        <w:gridCol w:w="3161"/>
        <w:gridCol w:w="700"/>
      </w:tblGrid>
      <w:tr w:rsidR="00223A64" w14:paraId="6C8D1CF2" w14:textId="77777777">
        <w:trPr>
          <w:cantSplit/>
          <w:jc w:val="center"/>
          <w:cantSplit/>
          <w:tblHeader/>
        </w:trPr>
        <w:tc>
          <w:tcPr>
            <w:tcW w:w="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4924" w14:textId="77777777" w:rsidR="00223A64" w:rsidRDefault="00223A64">
            <w:pPr>
              <w:widowControl/>
              <w:snapToGrid w:val="0"/>
              <w:spacing w:line="260" w:lineRule="auto"/>
              <w:jc w:val="center"/>
            </w:pPr>
          </w:p>
        </w:tc>
        <w:tc>
          <w:tcPr>
            <w:tcW w:w="31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51D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eqArr>
                  <m:eqArrPr>
                    <m:rSpRule m:val="3"/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m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τ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τ 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(mod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 p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),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 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∥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2</m:t>
                            </m:r>
                          </m:sub>
                        </m:sSub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∥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≤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34034726</m:t>
                    </m:r>
                  </m:e>
                </m:eqArr>
              </m:oMath>
            </m:oMathPara>
          </w:p>
        </w:tc>
        <w:tc>
          <w:tcPr>
            <w:tcW w:w="70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E46C0" w14:textId="77777777" w:rsidR="00223A64" w:rsidRDefault="00000000">
            <w:pPr>
              <w:widowControl/>
              <w:snapToGrid w:val="0"/>
              <w:spacing w:line="260" w:lineRule="auto"/>
              <w:jc w:val="right"/>
            </w:pPr>
            <w:bookmarkStart w:id="2" w:name="eq1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）</w:t>
            </w:r>
            <w:bookmarkEnd w:id="2"/>
          </w:p>
        </w:tc>
      </w:tr>
    </w:tbl>
    <w:p w14:paraId="7C9C7103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P2令公开集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⊆{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7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、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D</m:t>
            </m:r>
          </m:e>
        </m:d>
      </m:oMath>
      <w:r>
        <w:t xml:space="preserve">，隐藏集</w:t>
      </w:r>
      <m:oMath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={</m:t>
        </m:r>
        <m:r>
          <w:rPr>
            <w:rFonts w:ascii="Cambria Math" w:eastAsia="Cambria Math" w:hAnsi="Cambria Math" w:cs="Cambria Math"/>
          </w:rPr>
          <m:t>i</m:t>
        </m:r>
        <m:r>
          <m:rPr>
            <m:sty m:val="p"/>
          </m:rPr>
          <w:rPr>
            <w:rFonts w:ascii="Cambria Math" w:eastAsia="Cambria Math" w:hAnsi="Cambria Math" w:cs="Cambria Math"/>
          </w:rPr>
          <m:t>∈{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7</m:t>
        </m:r>
        <m:r>
          <m:rPr>
            <m:sty m:val="p"/>
          </m:rPr>
          <w:rPr>
            <w:rFonts w:ascii="Cambria Math" w:eastAsia="Cambria Math" w:hAnsi="Cambria Math" w:cs="Cambria Math"/>
          </w:rPr>
          <m:t>}:</m:t>
        </m:r>
        <m:r>
          <w:rPr>
            <w:rFonts w:ascii="Cambria Math" w:eastAsia="Cambria Math" w:hAnsi="Cambria Math" w:cs="Cambria Math"/>
          </w:rPr>
          <m:t>i</m:t>
        </m:r>
        <m:r>
          <m:rPr>
            <m:sty m:val="p"/>
          </m:rPr>
          <w:rPr>
            <w:rFonts w:ascii="Cambria Math" w:eastAsia="Cambria Math" w:hAnsi="Cambria Math" w:cs="Cambria Math"/>
          </w:rPr>
          <m:t>∉</m:t>
        </m:r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、</w:t>
      </w:r>
      <m:oMath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k</m:t>
        </m:r>
      </m:oMath>
      <w:r>
        <w:t xml:space="preserve"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∈</m:t>
            </m:r>
            <m:r>
              <w:rPr>
                <w:rFonts w:ascii="Cambria Math" w:eastAsia="Cambria Math" w:hAnsi="Cambria Math" w:cs="Cambria Math"/>
              </w:rPr>
              <m:t>D</m:t>
            </m:r>
          </m:sub>
          <m:sup>
            <m:r>
              <w:rPr>
                <w:rFonts w:ascii="Cambria Math" w:eastAsia="Cambria Math" w:hAnsi="Cambria Math" w:cs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,</m:t>
                </m:r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  <m:sup>
            <m:r>
              <w:rPr>
                <w:rFonts w:ascii="Cambria Math" w:eastAsia="Cambria Math" w:hAnsi="Cambria Math" w:cs="Cambria Math"/>
              </w:rPr>
              <m:t>8</m:t>
            </m:r>
          </m:sup>
        </m:sSubSup>
      </m:oMath>
      <w:r>
        <w:t xml:space="preserve">。在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</m:oMath>
      <w:r>
        <w:t xml:space="preserve">生成出示证明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P2</m:t>
            </m:r>
          </m:sub>
        </m:sSub>
      </m:oMath>
      <w:r>
        <w:t xml:space="preserve">，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64</m:t>
        </m:r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1125899906843221</m:t>
        </m:r>
      </m:oMath>
      <w:r>
        <w:t xml:space="preserve"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50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51</m:t>
            </m:r>
          </m:sup>
        </m:sSup>
      </m:oMath>
      <w:r>
        <w:t xml:space="preserve">、编码位宽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51</m:t>
        </m:r>
      </m:oMath>
      <w:r>
        <w:t xml:space="preserve">，满足式（2）：</w:t>
      </w:r>
    </w:p>
    <w:tbl>
      <w:tblPr>
        <w:tblW w:w="39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5" w:type="dxa"/>
          <w:left w:w="30" w:type="dxa"/>
          <w:bottom w:w="35" w:type="dxa"/>
          <w:right w:w="30" w:type="dxa"/>
        </w:tblCellMar>
        <w:tblLook w:val="0000" w:firstRow="0" w:lastRow="0" w:firstColumn="0" w:lastColumn="0" w:noHBand="0" w:noVBand="0"/>
      </w:tblPr>
      <w:tblGrid>
        <w:gridCol w:w="80"/>
        <w:gridCol w:w="3161"/>
        <w:gridCol w:w="700"/>
      </w:tblGrid>
      <w:tr w:rsidR="00223A64" w14:paraId="7104BBB5" w14:textId="77777777">
        <w:trPr>
          <w:cantSplit/>
          <w:jc w:val="center"/>
          <w:cantSplit/>
          <w:tblHeader/>
        </w:trPr>
        <w:tc>
          <w:tcPr>
            <w:tcW w:w="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87F19" w14:textId="77777777" w:rsidR="00223A64" w:rsidRDefault="00223A64">
            <w:pPr>
              <w:widowControl/>
              <w:snapToGrid w:val="0"/>
              <w:spacing w:line="260" w:lineRule="auto"/>
              <w:jc w:val="center"/>
            </w:pPr>
          </w:p>
        </w:tc>
        <w:tc>
          <w:tcPr>
            <w:tcW w:w="31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9111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eqArr>
                  <m:eqArrPr>
                    <m:rSpRule m:val="3"/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0 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(mod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 p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),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 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r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,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T</m:t>
                        </m:r>
                      </m:sup>
                    </m:sSup>
                  </m:e>
                </m:eqArr>
              </m:oMath>
            </m:oMathPara>
          </w:p>
        </w:tc>
        <w:tc>
          <w:tcPr>
            <w:tcW w:w="70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9E861" w14:textId="77777777" w:rsidR="00223A64" w:rsidRDefault="00000000">
            <w:pPr>
              <w:widowControl/>
              <w:snapToGrid w:val="0"/>
              <w:spacing w:line="260" w:lineRule="auto"/>
              <w:jc w:val="right"/>
            </w:pPr>
            <w:bookmarkStart w:id="3" w:name="eq2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）</w:t>
            </w:r>
            <w:bookmarkEnd w:id="3"/>
          </w:p>
        </w:tc>
      </w:tr>
    </w:tbl>
    <w:p w14:paraId="5DA2133A" w14:textId="77777777" w:rsidR="00223A64" w:rsidRDefault="00000000">
      <w:pPr>
        <w:widowControl/>
        <w:snapToGrid w:val="0"/>
        <w:spacing w:line="276" w:lineRule="auto"/>
        <w:ind w:firstLine="420"/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x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τ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∣-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∣-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:,</m:t>
            </m:r>
            <m:r>
              <w:rPr>
                <w:rFonts w:ascii="Cambria Math" w:eastAsia="Cambria Math" w:hAnsi="Cambria Math" w:cs="Cambria Math"/>
              </w:rPr>
              <m:t>H</m:t>
            </m:r>
          </m:e>
        </m:d>
      </m:oMath>
      <w:r>
        <w:t>，</w:t>
      </w:r>
      <m:oMath>
        <m:r>
          <w:rPr>
            <w:rFonts w:ascii="Cambria Math" w:eastAsia="Cambria Math" w:hAnsi="Cambria Math" w:cs="Cambria Math"/>
          </w:rPr>
          <m:t>H</m:t>
        </m:r>
      </m:oMath>
      <w:r>
        <w:t xml:space="preserve"> </w:t>
      </w:r>
      <w:r>
        <w:t>按升序排列。式（</w:t>
      </w:r>
      <w:r>
        <w:t>2</w:t>
      </w:r>
      <w:r>
        <w:t>）同时继承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>r</m:t>
        </m:r>
      </m:oMath>
      <w:r>
        <w:t xml:space="preserve"> </w:t>
      </w:r>
      <w:r>
        <w:t>的范数界、</w:t>
      </w:r>
      <m:oMath>
        <m:r>
          <w:rPr>
            <w:rFonts w:ascii="Cambria Math" w:eastAsia="Cambria Math" w:hAnsi="Cambria Math" w:cs="Cambria Math"/>
          </w:rPr>
          <m:t>τ</m:t>
        </m:r>
      </m:oMath>
      <w:r>
        <w:t xml:space="preserve"> </w:t>
      </w:r>
      <w: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</m:oMath>
      <w:r>
        <w:t xml:space="preserve"> </w:t>
      </w:r>
      <w:r>
        <w:t>的二进制约束及短原像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e>
        </m:d>
      </m:oMath>
      <w:r>
        <w:t xml:space="preserve"> </w:t>
      </w:r>
      <w:r>
        <w:t>的合并范数界；线性等式仅展示出示关系的代数部分。</w:t>
      </w:r>
      <w:r>
        <w:t>公开向量中，</w:t>
      </w:r>
      <m:oMath>
        <m:sSub>
          <m:e>
            <m:r>
              <m:t>a</m:t>
            </m:r>
          </m:e>
          <m:sub>
            <m:r>
              <m:t>m,i</m:t>
            </m:r>
          </m:sub>
        </m:sSub>
      </m:oMath>
      <w:r>
        <w:t>为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>的第i列。</w:t>
      </w:r>
    </w:p>
    <w:p w14:paraId="7E95C000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1.2 </w:t>
      </w:r>
      <w:r>
        <w:rPr>
          <w:rFonts w:eastAsia="黑体"/>
        </w:rPr>
        <w:t>证明流程与基线修正</w:t>
      </w:r>
    </w:p>
    <w:p w14:paraId="51F3C9F1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LaZer以LNP22[8]证明模线性关系、精确欧氏范数及二进制约束。</w:t>
      </w:r>
      <m:oMath>
        <m:r>
          <w:rPr>
            <w:rFonts w:ascii="Cambria Math" w:eastAsia="Cambria Math" w:hAnsi="Cambria Math" w:cs="Cambria Math"/>
          </w:rPr>
          <m:t>p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12289</m:t>
        </m:r>
      </m:oMath>
      <w:r>
        <w:t xml:space="preserve">与</w:t>
      </w:r>
      <m:oMath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∈{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互素，声明接口按式（3）缩放；应用列数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</w:rPr>
              <m:t>app</m:t>
            </m:r>
          </m:sub>
        </m:sSub>
      </m:oMath>
      <w:r>
        <w:t xml:space="preserve">在签发、填充出示、紧致出示时为24、48、</w:t>
      </w:r>
      <m:oMath>
        <m:r>
          <w:rPr>
            <w:rFonts w:ascii="Cambria Math" w:eastAsia="Cambria Math" w:hAnsi="Cambria Math" w:cs="Cambria Math"/>
          </w:rPr>
          <m:t>48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k</m:t>
        </m:r>
      </m:oMath>
      <w:r>
        <w:t xml:space="preserve">，区别于加入范数余量后的内部维度。</w:t>
      </w:r>
    </w:p>
    <w:tbl>
      <w:tblPr>
        <w:tblW w:w="39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5" w:type="dxa"/>
          <w:left w:w="30" w:type="dxa"/>
          <w:bottom w:w="35" w:type="dxa"/>
          <w:right w:w="30" w:type="dxa"/>
        </w:tblCellMar>
        <w:tblLook w:val="0000" w:firstRow="0" w:lastRow="0" w:firstColumn="0" w:lastColumn="0" w:noHBand="0" w:noVBand="0"/>
      </w:tblPr>
      <w:tblGrid>
        <w:gridCol w:w="80"/>
        <w:gridCol w:w="3161"/>
        <w:gridCol w:w="700"/>
      </w:tblGrid>
      <w:tr w:rsidR="00223A64" w14:paraId="7C22D352" w14:textId="77777777">
        <w:trPr>
          <w:cantSplit/>
          <w:jc w:val="center"/>
          <w:cantSplit/>
          <w:tblHeader/>
        </w:trPr>
        <w:tc>
          <w:tcPr>
            <w:tcW w:w="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70BD4" w14:textId="77777777" w:rsidR="00223A64" w:rsidRDefault="00223A64">
            <w:pPr>
              <w:widowControl/>
              <w:snapToGrid w:val="0"/>
              <w:spacing w:line="260" w:lineRule="auto"/>
              <w:jc w:val="center"/>
            </w:pPr>
          </w:p>
        </w:tc>
        <w:tc>
          <w:tcPr>
            <w:tcW w:w="31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D7F5D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eqArr>
                  <m:eqArrPr>
                    <m:rSpRule m:val="3"/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A 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mod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 q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∈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app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,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 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u 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mod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 q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∈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8</m:t>
                        </m:r>
                      </m:sup>
                    </m:sSubSup>
                  </m:e>
                </m:eqArr>
              </m:oMath>
            </m:oMathPara>
          </w:p>
        </w:tc>
        <w:tc>
          <w:tcPr>
            <w:tcW w:w="70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BC0DD" w14:textId="77777777" w:rsidR="00223A64" w:rsidRDefault="00000000">
            <w:pPr>
              <w:widowControl/>
              <w:snapToGrid w:val="0"/>
              <w:spacing w:line="260" w:lineRule="auto"/>
              <w:jc w:val="right"/>
            </w:pPr>
            <w:bookmarkStart w:id="4" w:name="eq3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）</w:t>
            </w:r>
            <w:bookmarkEnd w:id="4"/>
          </w:p>
        </w:tc>
      </w:tr>
    </w:tbl>
    <w:p w14:paraId="5F11E65A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证明路径包括见证及范数余量扩展、ABDLOP承诺；声明哈希与256行三元投影，响应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</m:oMath>
      <w:r>
        <w:t xml:space="preserve"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</m:oMath>
      <w:r>
        <w:t xml:space="preserve">经双峰拒绝；约束组合和自同构对称化；二次证明重试并检查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。签发/出示范数余量数为</w:t>
      </w:r>
      <m:oMath>
        <m:r>
          <w:rPr>
            <w:rFonts w:ascii="Cambria Math" w:eastAsia="Cambria Math" w:hAnsi="Cambria Math" w:cs="Cambria Math"/>
          </w:rPr>
          <m:t>Z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</m:oMath>
      <w:r>
        <w:t xml:space="preserve">/</w:t>
      </w:r>
      <m:oMath>
        <m:r>
          <w:rPr>
            <w:rFonts w:ascii="Cambria Math" w:eastAsia="Cambria Math" w:hAnsi="Cambria Math" w:cs="Cambria Math"/>
          </w:rPr>
          <m:t>Z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</m:oMath>
      <w:r>
        <w:t xml:space="preserve">；此为功能划分，非单函数顺序。</w:t>
      </w:r>
    </w:p>
    <w:p w14:paraId="352A2951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修正基线先完成以下修正，再与优化版比较；修错总耗时差不归因于单项检查，共同AVX2构建也不是原论文平台的绝对性能复现。</w:t>
      </w:r>
    </w:p>
    <w:p w14:paraId="2D7FD9CD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（1）第二阶段拒绝判定误用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bSup>
      </m:oMath>
      <w:r>
        <w:t xml:space="preserve">，改用生成器为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指定的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bSup>
      </m:oMath>
      <w:r>
        <w:t xml:space="preserve">；签发/出示中原值分别约为正确值的</w:t>
      </w:r>
      <m:oMath>
        <m:r>
          <w:rPr>
            <w:rFonts w:ascii="Cambria Math" w:eastAsia="Cambria Math" w:hAnsi="Cambria Math" w:cs="Cambria Math"/>
          </w:rPr>
          <m:t>1.02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t xml:space="preserve">/</w:t>
      </w:r>
      <m:oMath>
        <m:r>
          <w:rPr>
            <w:rFonts w:ascii="Cambria Math" w:eastAsia="Cambria Math" w:hAnsi="Cambria Math" w:cs="Cambria Math"/>
          </w:rPr>
          <m:t>4.19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6</m:t>
            </m:r>
          </m:sup>
        </m:sSup>
      </m:oMath>
      <w:r>
        <w:t xml:space="preserve">倍。固定版本的修正位置及历史E3币规则对照见补充材料第S1节。</w:t>
      </w:r>
    </w:p>
    <w:p w14:paraId="1CD34AFE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（2）C盲化示例累加第二个512维向量范数时误用第一向量末项，改为当前系数；不将此修正计作Python出示优化的独立收益。</w:t>
      </w:r>
    </w:p>
    <w:p w14:paraId="70F0AA9E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（3）补齐BLNS23[7]图19的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盲签名线性及范数检查（式（1））；只复用同一持有者状态下相同字节流已通过的校验。</w:t>
      </w:r>
    </w:p>
    <w:p w14:paraId="5BCE6004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（4）统一模约减和中心化；三种版本执行相同功能检查，严格验证增查长度、披露下标及隐藏槽位。</w:t>
      </w:r>
    </w:p>
    <w:p w14:paraId="17465398" w14:textId="77777777" w:rsidR="00223A64" w:rsidRDefault="00000000">
      <w:pPr>
        <w:keepNext/>
        <w:widowControl/>
        <w:snapToGrid w:val="0"/>
        <w:spacing w:before="80" w:after="50" w:line="276" w:lineRule="auto"/>
      </w:pPr>
      <w:r>
        <w:rPr>
          <w:rFonts w:eastAsia="黑体"/>
          <w:sz w:val="28"/>
          <w:szCs w:val="28"/>
        </w:rPr>
        <w:t xml:space="preserve">2 </w:t>
      </w:r>
      <w:r>
        <w:rPr>
          <w:rFonts w:eastAsia="黑体"/>
          <w:sz w:val="28"/>
          <w:szCs w:val="28"/>
        </w:rPr>
        <w:t>实现优化</w:t>
      </w:r>
    </w:p>
    <w:p w14:paraId="0001B568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填充优化（G3）组合双层状态复用、连续点积、延后乘积、模乘及整数守卫；紧致优化（C3）仅另改关系和参数，连同修正基线（B1）均保留原MPFR判定。</w:t>
      </w:r>
    </w:p>
    <w:p w14:paraId="5C98F952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2.1 </w:t>
      </w:r>
      <w:r>
        <w:rPr>
          <w:rFonts w:eastAsia="黑体"/>
        </w:rPr>
        <w:t>跨调用状态复用</w:t>
      </w:r>
    </w:p>
    <w:p w14:paraId="73A1B4E0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同一披露策略的静态矩阵不变。填充配置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</w:rPr>
              <m:t>app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48</m:t>
        </m:r>
      </m:oMath>
      <w:r>
        <w:t xml:space="preserve">、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64</m:t>
        </m:r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51</m:t>
        </m:r>
      </m:oMath>
      <w:r>
        <w:t xml:space="preserve"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s</m:t>
            </m:r>
          </m:sub>
        </m:sSub>
      </m:oMath>
      <w:r>
        <w:t xml:space="preserve">含</w:t>
      </w:r>
      <m:oMath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48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384</m:t>
        </m:r>
      </m:oMath>
      <w:r>
        <w:t xml:space="preserve">个多项式、</w:t>
      </w:r>
      <m:oMath>
        <m:r>
          <w:rPr>
            <w:rFonts w:ascii="Cambria Math" w:eastAsia="Cambria Math" w:hAnsi="Cambria Math" w:cs="Cambria Math"/>
          </w:rPr>
          <m:t>384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64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24576</m:t>
        </m:r>
      </m:oMath>
      <w:r>
        <w:t xml:space="preserve">个系数。Enc为系数编码，长度不含最终终止字节：</w:t>
      </w:r>
    </w:p>
    <w:tbl>
      <w:tblPr>
        <w:tblW w:w="39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5" w:type="dxa"/>
          <w:left w:w="30" w:type="dxa"/>
          <w:bottom w:w="35" w:type="dxa"/>
          <w:right w:w="30" w:type="dxa"/>
        </w:tblCellMar>
        <w:tblLook w:val="0000" w:firstRow="0" w:lastRow="0" w:firstColumn="0" w:lastColumn="0" w:noHBand="0" w:noVBand="0"/>
      </w:tblPr>
      <w:tblGrid>
        <w:gridCol w:w="80"/>
        <w:gridCol w:w="3161"/>
        <w:gridCol w:w="700"/>
      </w:tblGrid>
      <w:tr w:rsidR="00223A64" w14:paraId="1D4EA90D" w14:textId="77777777">
        <w:trPr>
          <w:cantSplit/>
          <w:jc w:val="center"/>
          <w:cantSplit/>
          <w:tblHeader/>
        </w:trPr>
        <w:tc>
          <w:tcPr>
            <w:tcW w:w="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E745" w14:textId="77777777" w:rsidR="00223A64" w:rsidRDefault="00223A64">
            <w:pPr>
              <w:widowControl/>
              <w:snapToGrid w:val="0"/>
              <w:spacing w:line="260" w:lineRule="auto"/>
              <w:jc w:val="center"/>
            </w:pPr>
          </w:p>
        </w:tc>
        <w:tc>
          <w:tcPr>
            <w:tcW w:w="31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8F923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eqArr>
                  <m:eqArrPr>
                    <m:rSpRule m:val="3"/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Enc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s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48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64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51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/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156672 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B</m:t>
                    </m:r>
                  </m:e>
                </m:eqArr>
              </m:oMath>
            </m:oMathPara>
          </w:p>
          <w:p w14:paraId="3C8AA0F6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eqArr>
                  <m:eqArrPr>
                    <m:rSpRule m:val="3"/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Enc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19"/>
                                    <w:szCs w:val="19"/>
                                  </w:rPr>
                                  <m:t>'</m:t>
                                </m:r>
                              </m:sup>
                            </m:sSup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64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⋅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51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/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3264 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B</m:t>
                    </m:r>
                  </m:e>
                </m:eqArr>
              </m:oMath>
            </m:oMathPara>
          </w:p>
        </w:tc>
        <w:tc>
          <w:tcPr>
            <w:tcW w:w="70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DD0C4" w14:textId="77777777" w:rsidR="00223A64" w:rsidRDefault="00000000">
            <w:pPr>
              <w:widowControl/>
              <w:snapToGrid w:val="0"/>
              <w:spacing w:line="260" w:lineRule="auto"/>
              <w:jc w:val="right"/>
            </w:pPr>
            <w:bookmarkStart w:id="7" w:name="eq4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）</w:t>
            </w:r>
            <w:bookmarkEnd w:id="7"/>
          </w:p>
        </w:tc>
      </w:tr>
    </w:tbl>
    <w:p w14:paraId="6DB813E3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静态矩阵占式（4）编码载荷97.96%。重复系数编码会触发CRT/系数表示转换，并重算384个多项式的自同构像；CRT用于快速多项式运算，转换采用NTT及逆变换。</w:t>
      </w:r>
    </w:p>
    <w:p w14:paraId="49DFE632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Python层按披露下标元组复用静态声明及同一持有者已校验的盲签名解码。C层线程局部表按指针及有效标志查找，缓存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s</m:t>
            </m:r>
          </m:sub>
        </m:sSub>
      </m:oMath>
      <w:r>
        <w:t xml:space="preserve">、自同构像</w:t>
      </w:r>
      <m:oMath>
        <m:r>
          <w:rPr>
            <w:rFonts w:ascii="Cambria Math" w:eastAsia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s</m:t>
            </m:r>
          </m:sub>
        </m:sSub>
      </m:oMath>
      <w:r>
        <w:t xml:space="preserve">和SHAKE128前缀。首次在字节对齐、编码未结束处保存208 B状态并转CRT，后续复制并续写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'</m:t>
            </m:r>
          </m:sup>
        </m:sSup>
      </m:oMath>
      <w:r>
        <w:t xml:space="preserve">。矩阵内容、维度、模数、位宽、哈希/自同构元数据变化须经设置接口重建；清理及地址复用前失效。指针相同不保证内容相同，不支持绕过接口原地修改或并发。静态部分仅准备一次，公开向量与新鲜随机性逐次处理。</w:t>
      </w:r>
    </w:p>
    <w:p w14:paraId="2D8EFA63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2.2 </w:t>
      </w:r>
      <w:r>
        <w:rPr>
          <w:rFonts w:eastAsia="黑体"/>
        </w:rPr>
        <w:t>冗余见证坐标消除</w:t>
      </w:r>
    </w:p>
    <w:p w14:paraId="612862DB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原填充示例对公开集合</w:t>
      </w:r>
      <m:oMath>
        <m:r>
          <w:rPr>
            <w:rFonts w:ascii="Cambria Math" w:eastAsia="Cambria Math" w:hAnsi="Cambria Math" w:cs="Cambria Math"/>
          </w:rPr>
          <m:t>D</m:t>
        </m:r>
      </m:oMath>
      <w:r>
        <w:t xml:space="preserve">置零列与见证，仍保留48个见证和16个二进制约束多项式。令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D</m:t>
            </m:r>
          </m:e>
        </m:d>
      </m:oMath>
      <w:r>
        <w:t xml:space="preserve">、</w:t>
      </w:r>
      <m:oMath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k</m:t>
        </m:r>
      </m:oMath>
      <w:r>
        <w:t xml:space="preserve">，删除对应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 xml:space="preserve">个零列与零分量，得到式（5）及图1的紧致关系。</w:t>
      </w:r>
    </w:p>
    <w:tbl>
      <w:tblPr>
        <w:tblW w:w="39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5" w:type="dxa"/>
          <w:left w:w="30" w:type="dxa"/>
          <w:bottom w:w="35" w:type="dxa"/>
          <w:right w:w="30" w:type="dxa"/>
        </w:tblCellMar>
        <w:tblLook w:val="0000" w:firstRow="0" w:lastRow="0" w:firstColumn="0" w:lastColumn="0" w:noHBand="0" w:noVBand="0"/>
      </w:tblPr>
      <w:tblGrid>
        <w:gridCol w:w="80"/>
        <w:gridCol w:w="3161"/>
        <w:gridCol w:w="700"/>
      </w:tblGrid>
      <w:tr w:rsidR="00223A64" w14:paraId="4A3C583A" w14:textId="77777777">
        <w:trPr>
          <w:cantSplit/>
          <w:jc w:val="center"/>
          <w:cantSplit/>
          <w:tblHeader/>
        </w:trPr>
        <w:tc>
          <w:tcPr>
            <w:tcW w:w="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62EB" w14:textId="77777777" w:rsidR="00223A64" w:rsidRDefault="00223A64">
            <w:pPr>
              <w:widowControl/>
              <w:snapToGrid w:val="0"/>
              <w:spacing w:line="260" w:lineRule="auto"/>
              <w:jc w:val="center"/>
            </w:pPr>
          </w:p>
        </w:tc>
        <w:tc>
          <w:tcPr>
            <w:tcW w:w="31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0B8C5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eqArr>
                  <m:eqArrPr>
                    <m:rSpRule m:val="3"/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A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h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τ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∣-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∣-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H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∈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40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+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h</m:t>
                            </m:r>
                          </m:e>
                        </m:d>
                      </m:sup>
                    </m:sSubSup>
                  </m:e>
                </m:eqArr>
              </m:oMath>
            </m:oMathPara>
          </w:p>
          <w:p w14:paraId="340D50E2" w14:textId="77777777" w:rsidR="00223A64" w:rsidRDefault="00000000">
            <w:pPr>
              <w:widowControl/>
              <w:snapToGrid w:val="0"/>
              <w:spacing w:line="26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h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19"/>
                    <w:szCs w:val="19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,</m:t>
                        </m:r>
                        <m: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9"/>
                            <w:szCs w:val="19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9"/>
                                <w:szCs w:val="19"/>
                              </w:rPr>
                              <m:t>H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19"/>
                    <w:szCs w:val="19"/>
                  </w:rPr>
                  <m:t>∈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p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19"/>
                        <w:szCs w:val="19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70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4B68E" w14:textId="77777777" w:rsidR="00223A64" w:rsidRDefault="00000000">
            <w:pPr>
              <w:widowControl/>
              <w:snapToGrid w:val="0"/>
              <w:spacing w:line="260" w:lineRule="auto"/>
              <w:jc w:val="right"/>
            </w:pPr>
            <w:bookmarkStart w:id="8" w:name="eq5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）</w:t>
            </w:r>
            <w:bookmarkEnd w:id="8"/>
          </w:p>
        </w:tc>
      </w:tr>
    </w:tbl>
    <w:p w14:paraId="08117F9E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二进制索引改为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s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h</m:t>
                </m:r>
              </m:e>
            </m:d>
          </m:sup>
        </m:sSubSup>
        <m:r>
          <m:rPr>
            <m:sty m:val="p"/>
          </m:rPr>
          <w:rPr>
            <w:rFonts w:ascii="Cambria Math" w:eastAsia="Cambria Math" w:hAnsi="Cambria Math" w:cs="Cambria Math"/>
          </w:rPr>
          <m:t>={</m:t>
        </m:r>
        <m:r>
          <w:rPr>
            <w:rFonts w:ascii="Cambria Math" w:eastAsia="Cambria Math" w:hAnsi="Cambria Math" w:cs="Cambria Math"/>
          </w:rPr>
          <m:t>16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23</m:t>
        </m:r>
        <m:r>
          <m:rPr>
            <m:sty m:val="p"/>
          </m:rPr>
          <w:rPr>
            <w:rFonts w:ascii="Cambria Math" w:eastAsia="Cambria Math" w:hAnsi="Cambria Math" w:cs="Cambria Math"/>
          </w:rPr>
          <m:t>}∪{</m:t>
        </m:r>
        <m:r>
          <w:rPr>
            <w:rFonts w:ascii="Cambria Math" w:eastAsia="Cambria Math" w:hAnsi="Cambria Math" w:cs="Cambria Math"/>
          </w:rPr>
          <m:t>40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39</m:t>
        </m:r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（</w:t>
      </w:r>
      <m:oMath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</m:oMath>
      <w:r>
        <w:t xml:space="preserve">时后段为空），数量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bin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k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16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k</m:t>
        </m:r>
      </m:oMath>
      <w:r>
        <w:t xml:space="preserve">。验证端按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 xml:space="preserve">选择覆盖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∈{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（</w:t>
      </w:r>
      <m:oMath>
        <m:r>
          <w:rPr>
            <w:rFonts w:ascii="Cambria Math" w:eastAsia="Cambria Math" w:hAnsi="Cambria Math" w:cs="Cambria Math"/>
          </w:rPr>
          <m:t>h</m:t>
        </m:r>
        <m:r>
          <m:rPr>
            <m:sty m:val="p"/>
          </m:rPr>
          <w:rPr>
            <w:rFonts w:ascii="Cambria Math" w:eastAsia="Cambria Math" w:hAnsi="Cambria Math" w:cs="Cambria Math"/>
          </w:rPr>
          <m:t>∈{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7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）的八组参数，k=0沿用填充配置。承诺及内积缩短，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省去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 xml:space="preserve">个64次多项式的高斯位流。k=3时应用维度48→45、二进制约束16→13；两项范数余量保留，内部维度50→47。矩阵、投影及索引按同一隐藏属性顺序更新。</w:t>
      </w:r>
    </w:p>
    <w:p>
      <w:pPr>
        <w:spacing w:line="20" w:lineRule="exact" w:before="0" w:after="0"/>
        <w:sectPr w:rsidR="00223A64">
          <w:type w:val="continuous"/>
          <w:pgSz w:w="11906" w:h="16838"/>
          <w:pgMar w:top="1440" w:right="1800" w:bottom="1440" w:left="1800" w:header="0" w:footer="0" w:gutter="0"/>
          <w:cols w:num="2" w:space="424"/>
          <w:formProt w:val="0"/>
          <w:docGrid w:type="lines" w:linePitch="312"/>
        </w:sectPr>
      </w:pP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267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6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sz w:val="21"/>
        </w:rPr>
        <w:t>图1 声明复用与紧致关系的同步特化</w:t>
      </w:r>
    </w:p>
    <w:p>
      <w:pPr>
        <w:spacing w:line="20" w:lineRule="exact" w:before="0" w:after="0"/>
        <w:sectPr w:rsidR="00223A64">
          <w:type w:val="continuous"/>
          <w:pgSz w:w="11906" w:h="16838"/>
          <w:pgMar w:top="1440" w:right="1800" w:bottom="1440" w:left="1800" w:header="0" w:footer="0" w:gutter="0"/>
          <w:cols w:num="1" w:space="424"/>
          <w:formProt w:val="0"/>
          <w:docGrid w:type="lines" w:linePitch="312"/>
        </w:sectPr>
      </w:pPr>
    </w:p>
    <w:p w14:paraId="22597C02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2.3 </w:t>
      </w:r>
      <w:r>
        <w:rPr>
          <w:rFonts w:eastAsia="黑体"/>
        </w:rPr>
        <w:t>证明内部计算简化</w:t>
      </w:r>
    </w:p>
    <w:p w14:paraId="5DF727A0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（1）不变量外提。二次型矩阵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尺寸</w:t>
      </w:r>
      <m:oMath>
        <m:r>
          <m:t>2(</m:t>
        </m:r>
        <m:sSub>
          <m:e>
            <m:r>
              <m:t>m</m:t>
            </m:r>
          </m:e>
          <m:sub>
            <m:r>
              <m:rPr>
                <m:nor/>
              </m:rPr>
              <m:t>int</m:t>
            </m:r>
          </m:sub>
        </m:sSub>
        <m:r>
          <m:t>+ℓ)×2(</m:t>
        </m:r>
        <m:sSub>
          <m:e>
            <m:r>
              <m:t>m</m:t>
            </m:r>
          </m:e>
          <m:sub>
            <m:r>
              <m:rPr>
                <m:nor/>
              </m:rPr>
              <m:t>int</m:t>
            </m:r>
          </m:sub>
        </m:sSub>
        <m:r>
          <m:t>+ℓ)</m:t>
        </m:r>
      </m:oMath>
      <w:r>
        <w:t xml:space="preserve"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m:rPr>
                <m:sty m:val="p"/>
                <m:nor/>
              </m:rPr>
              <w:rPr>
                <w:rFonts w:ascii="Cambria Math" w:eastAsia="Cambria Math" w:hAnsi="Cambria Math" w:cs="Cambria Math"/>
              </w:rPr>
              <m:t>int</m:t>
            </m:r>
          </m:sub>
        </m:sSub>
      </m:oMath>
      <w:r>
        <w:t xml:space="preserve">含范数余量、ℓ为承诺消息长度；签发/填充/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</m:oMath>
      <w:r>
        <w:t xml:space="preserve">紧致为</w:t>
      </w:r>
      <m:oMath>
        <m:r>
          <w:rPr>
            <w:rFonts w:ascii="Cambria Math" w:eastAsia="Cambria Math" w:hAnsi="Cambria Math" w:cs="Cambria Math"/>
          </w:rPr>
          <m:t>72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72</m:t>
        </m:r>
      </m:oMath>
      <w:r>
        <w:t xml:space="preserve">/</w:t>
      </w:r>
      <m:oMath>
        <m:r>
          <w:rPr>
            <w:rFonts w:ascii="Cambria Math" w:eastAsia="Cambria Math" w:hAnsi="Cambria Math" w:cs="Cambria Math"/>
          </w:rPr>
          <m:t>122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122</m:t>
        </m:r>
      </m:oMath>
      <w:r>
        <w:t xml:space="preserve">/</w:t>
      </w:r>
      <m:oMath>
        <m:r>
          <w:rPr>
            <w:rFonts w:ascii="Cambria Math" w:eastAsia="Cambria Math" w:hAnsi="Cambria Math" w:cs="Cambria Math"/>
          </w:rPr>
          <m:t>116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116</m:t>
        </m:r>
      </m:oMath>
      <w:r>
        <w:t xml:space="preserve">。矩阵与扩展秘密在拒绝循环不变，乘积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s</m:t>
        </m:r>
      </m:oMath>
      <w:r>
        <w:t xml:space="preserve">及逆变换只算一次。</w:t>
      </w:r>
    </w:p>
    <w:p w14:paraId="6DB8093A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（2）连续定宽投影[3,12]。共用Schwartz–Zippel累加器由128位改64位并去零分支；证明端将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</m:oMath>
      <w:r>
        <w:t xml:space="preserve"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</m:oMath>
      <w:r>
        <w:t xml:space="preserve">系数在循环前提取到连续64位数组，三元系数取−1、0、1；预检查及回退见第3.3节。</w:t>
      </w:r>
    </w:p>
    <w:p w14:paraId="4846E9AF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（3）延后乘积[15,16]。第一组响应通过标准拒绝后才计算</w:t>
      </w:r>
      <m:oMath>
        <m:r>
          <w:rPr>
            <w:rFonts w:ascii="Cambria Math" w:eastAsia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及加法；操作须不耗随机币且不改状态。拒绝率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、乘积成本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</m:oMath>
      <w:r>
        <w:t xml:space="preserve">时，该项期望成本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</m:oMath>
      <w:r>
        <w:t xml:space="preserve">，非整证明同幅加速。</w:t>
      </w:r>
    </w:p>
    <w:p w14:paraId="637FC2E7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（4）单机器字模乘。满足第3.3节范围前提时以64/128位整数约减和相乘，省去多精度临时向量；不满足前提回通用路径。</w:t>
      </w:r>
    </w:p>
    <w:p w14:paraId="37DA82CB" w14:textId="77777777" w:rsidR="00223A64" w:rsidRDefault="00000000">
      <w:pPr>
        <w:keepNext/>
        <w:widowControl/>
        <w:snapToGrid w:val="0"/>
        <w:spacing w:before="80" w:after="50" w:line="276" w:lineRule="auto"/>
      </w:pPr>
      <w:r>
        <w:rPr>
          <w:rFonts w:eastAsia="黑体"/>
          <w:sz w:val="28"/>
          <w:szCs w:val="28"/>
        </w:rPr>
        <w:t xml:space="preserve">3 </w:t>
      </w:r>
      <w:r>
        <w:rPr>
          <w:rFonts w:eastAsia="黑体"/>
          <w:sz w:val="28"/>
          <w:szCs w:val="28"/>
        </w:rPr>
        <w:t>正确性和适用条件</w:t>
      </w:r>
    </w:p>
    <w:p w14:paraId="54D8820F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3.1 </w:t>
      </w:r>
      <w:r>
        <w:rPr>
          <w:rFonts w:eastAsia="黑体"/>
        </w:rPr>
        <w:t>关系编译与前缀一致性</w:t>
      </w:r>
    </w:p>
    <w:p w14:paraId="11024AE6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式（3）不是模</w:t>
      </w:r>
      <m:oMath>
        <m:r>
          <w:rPr>
            <w:rFonts w:ascii="Cambria Math" w:eastAsia="Cambria Math" w:hAnsi="Cambria Math" w:cs="Cambria Math"/>
          </w:rPr>
          <m:t>p</m:t>
        </m:r>
      </m:oMath>
      <w:r>
        <w:t xml:space="preserve">与模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 xml:space="preserve">的无条件等价。取模</w:t>
      </w:r>
      <m:oMath>
        <m:r>
          <w:rPr>
            <w:rFonts w:ascii="Cambria Math" w:eastAsia="Cambria Math" w:hAnsi="Cambria Math" w:cs="Cambria Math"/>
          </w:rPr>
          <m:t>p</m:t>
        </m:r>
      </m:oMath>
      <w:r>
        <w:t xml:space="preserve">输入</w:t>
      </w:r>
      <m:oMath>
        <m:r>
          <w:rPr>
            <w:rFonts w:ascii="Cambria Math" w:eastAsia="Cambria Math" w:hAnsi="Cambria Math" w:cs="Cambria Math"/>
          </w:rPr>
          <m:t>A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u</m:t>
        </m:r>
      </m:oMath>
      <w:r>
        <w:t xml:space="preserve">的确定整数代表，令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Aw</m:t>
        </m:r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u</m:t>
        </m:r>
      </m:oMath>
      <w:r>
        <w:t xml:space="preserve">。原关系给出整数商向量</w:t>
      </w:r>
      <m:oMath>
        <m:r>
          <w:rPr>
            <w:rFonts w:ascii="Cambria Math" w:eastAsia="Cambria Math" w:hAnsi="Cambria Math" w:cs="Cambria Math"/>
          </w:rPr>
          <m:t>e</m:t>
        </m:r>
      </m:oMath>
      <w:r>
        <w:t xml:space="preserve">使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pe</m:t>
        </m:r>
      </m:oMath>
      <w:r>
        <w:t xml:space="preserve">；证明器在模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 xml:space="preserve">中约束该商关系。反向需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∥</m:t>
        </m:r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∞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q</m:t>
        </m:r>
      </m:oMath>
      <w:r>
        <w:t xml:space="preserve">排除回绕：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pe</m:t>
        </m:r>
        <m:r>
          <m:rPr>
            <m:sty m:val="p"/>
          </m:rPr>
          <w:rPr>
            <w:rFonts w:ascii="Cambria Math" w:eastAsia="Cambria Math" w:hAnsi="Cambria Math" w:cs="Cambria Math"/>
          </w:rPr>
          <m:t>≡</m:t>
        </m:r>
        <m:r>
          <w:rPr>
            <w:rFonts w:ascii="Cambria Math" w:eastAsia="Cambria Math" w:hAnsi="Cambria Math" w:cs="Cambria Math"/>
          </w:rPr>
          <m:t>0 </m:t>
        </m:r>
        <m:r>
          <m:rPr>
            <m:sty m:val="p"/>
          </m:rPr>
          <w:rPr>
            <w:rFonts w:ascii="Cambria Math" w:eastAsia="Cambria Math" w:hAnsi="Cambria Math" w:cs="Cambria Math"/>
          </w:rPr>
          <m:t>(mod</m:t>
        </m:r>
        <m:r>
          <w:rPr>
            <w:rFonts w:ascii="Cambria Math" w:eastAsia="Cambria Math" w:hAnsi="Cambria Math" w:cs="Cambria Math"/>
          </w:rPr>
          <m:t> q</m:t>
        </m:r>
        <m:r>
          <m:rPr>
            <m:sty m:val="p"/>
          </m:rPr>
          <w:rPr>
            <w:rFonts w:ascii="Cambria Math" w:eastAsia="Cambria Math" w:hAnsi="Cambria Math" w:cs="Cambria Math"/>
          </w:rPr>
          <m:t>)</m:t>
        </m:r>
      </m:oMath>
      <w:r>
        <w:t xml:space="preserve">推出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pe</m:t>
        </m:r>
      </m:oMath>
      <w:r>
        <w:t xml:space="preserve">，再得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≡</m:t>
        </m:r>
        <m:r>
          <w:rPr>
            <w:rFonts w:ascii="Cambria Math" w:eastAsia="Cambria Math" w:hAnsi="Cambria Math" w:cs="Cambria Math"/>
          </w:rPr>
          <m:t>0 </m:t>
        </m:r>
        <m:r>
          <m:rPr>
            <m:sty m:val="p"/>
          </m:rPr>
          <w:rPr>
            <w:rFonts w:ascii="Cambria Math" w:eastAsia="Cambria Math" w:hAnsi="Cambria Math" w:cs="Cambria Math"/>
          </w:rPr>
          <m:t>(mod</m:t>
        </m:r>
        <m:r>
          <w:rPr>
            <w:rFonts w:ascii="Cambria Math" w:eastAsia="Cambria Math" w:hAnsi="Cambria Math" w:cs="Cambria Math"/>
          </w:rPr>
          <m:t> p</m:t>
        </m:r>
        <m:r>
          <m:rPr>
            <m:sty m:val="p"/>
          </m:rPr>
          <w:rPr>
            <w:rFonts w:ascii="Cambria Math" w:eastAsia="Cambria Math" w:hAnsi="Cambria Math" w:cs="Cambria Math"/>
          </w:rPr>
          <m:t>)</m:t>
        </m:r>
      </m:oMath>
      <w:r>
        <w:t xml:space="preserve">。范围依赖见证和近似范围证明的界，不能仅由互素性推出；模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 xml:space="preserve">中心化规范化也不替代范围论证。</w:t>
      </w:r>
      <w:r>
        <w:t xml:space="preserve">固定参数的保守上界均小于各自q的0.308倍，提取前提及计算见补充材料S4。</w:t>
      </w:r>
    </w:p>
    <w:p w14:paraId="20001E0B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前缀必须保存于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s</m:t>
            </m:r>
          </m:sub>
        </m:sSub>
      </m:oMath>
      <w:r>
        <w:t xml:space="preserve">编码后且无残余比特处。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64</m:t>
        </m:r>
      </m:oMath>
      <w:r>
        <w:t xml:space="preserve">、每系数42或51比特时，</w:t>
      </w:r>
      <m:oMath>
        <m:r>
          <w:rPr>
            <w:rFonts w:ascii="Cambria Math" w:eastAsia="Cambria Math" w:hAnsi="Cambria Math" w:cs="Cambria Math"/>
          </w:rPr>
          <m:t>64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8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q</m:t>
                </m:r>
              </m:sub>
            </m:sSub>
          </m:e>
        </m:d>
      </m:oMath>
      <w:r>
        <w:t xml:space="preserve">保证字节对齐。提前结束编码会写入0x01，改变连续编码(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'</m:t>
                </m:r>
              </m:sup>
            </m:sSup>
          </m:e>
        </m:d>
      </m:oMath>
      <w:r>
        <w:t xml:space="preserve">)的字节流。实现检查残余比特为0后，不结束编码而保存完整208 B状态；复制后继续编码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'</m:t>
            </m:r>
          </m:sup>
        </m:sSup>
      </m:oMath>
      <w:r>
        <w:t xml:space="preserve">，最后仅写一次终止标志，因而与未缓存路径的输入字节一致。底层对应coder_enc_urandom4与coder_enc_end接口。</w:t>
      </w:r>
    </w:p>
    <w:p w14:paraId="3F8D4039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3.2 零坐标见证对应</w:t>
      </w:r>
    </w:p>
    <w:p w14:paraId="28E59556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pad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m</m:t>
                    </m:r>
                  </m:sub>
                </m:sSub>
              </m:e>
            </m:d>
          </m:e>
        </m:d>
      </m:oMath>
      <w:r>
        <w:t>，其中置零算子</w:t>
      </w:r>
      <m:oMath>
        <m:sSub>
          <m:e>
            <m:r>
              <m:t>Z</m:t>
            </m:r>
          </m:e>
          <m:sub>
            <m:r>
              <m:t>D</m:t>
            </m:r>
          </m:sub>
        </m:sSub>
      </m:oMath>
      <w:r>
        <w:t>将公开属性列置零。紧致见证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h</m:t>
                </m:r>
              </m:e>
            </m:d>
          </m:sup>
        </m:sSup>
      </m:oMath>
      <w:r>
        <w:t xml:space="preserve">在已披露坐标补零为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ι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h</m:t>
                    </m:r>
                  </m:e>
                </m:d>
              </m:sup>
            </m:sSup>
          </m:e>
        </m:d>
      </m:oMath>
      <w:r>
        <w:t xml:space="preserve"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pad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ι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h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h</m:t>
                </m:r>
              </m:e>
            </m:d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h</m:t>
                </m:r>
              </m:e>
            </m:d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</m:oMath>
      <w:r>
        <w:t xml:space="preserve">；欧氏范数及</w:t>
      </w:r>
      <m:oMath>
        <m:r>
          <w:rPr>
            <w:rFonts w:ascii="Cambria Math" w:eastAsia="Cambria Math" w:hAnsi="Cambria Math" w:cs="Cambria Math"/>
          </w:rPr>
          <m:t>τ</m:t>
        </m:r>
      </m:oMath>
      <w:r>
        <w:t xml:space="preserve">、隐藏属性二进制约束保持。反向投影要求原见证对应坐标为零。因此只在零坐标子集上互逆并保持应用关系见证存在性，不是全部填充见证的双射或整协议归约。实现同步收缩见证、二进制约束、投影维度及索引，功能回归覆盖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8</m:t>
        </m:r>
      </m:oMath>
      <w:r>
        <w:t xml:space="preserve">；各披露数量的单项MSIS诊断见第4.5节。</w:t>
      </w:r>
    </w:p>
    <w:p w14:paraId="0B3C22FF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3.3 </w:t>
      </w:r>
      <w:r>
        <w:rPr>
          <w:rFonts w:eastAsia="黑体"/>
        </w:rPr>
        <w:t>整数范围与浮点条件</w:t>
      </w:r>
    </w:p>
    <w:p w14:paraId="1EF93117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（1）三元投影。共用累加器累加256项挑战系数schal与三元系数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j</m:t>
            </m:r>
          </m:e>
        </m:d>
      </m:oMath>
      <w:r>
        <w:t xml:space="preserve">的乘积。单机器字且</w:t>
      </w:r>
      <m:oMath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55</m:t>
            </m:r>
          </m:sup>
        </m:sSup>
      </m:oMath>
      <w:r>
        <w:t xml:space="preserve"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eastAsia="Cambria Math" w:hAnsi="Cambria Math" w:cs="Cambria Math"/>
              </w:rPr>
              <m:t>schal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t xml:space="preserve">时，</w:t>
      </w:r>
      <m:oMath>
        <m:r>
          <w:rPr>
            <w:rFonts w:ascii="Cambria Math" w:eastAsia="Cambria Math" w:hAnsi="Cambria Math" w:cs="Cambria Math"/>
          </w:rPr>
          <m:t>256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q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63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512</m:t>
        </m:r>
      </m:oMath>
      <w:r>
        <w:t xml:space="preserve">保证累加界。证明端另令</w:t>
      </w:r>
      <m:oMath>
        <m:r>
          <w:rPr>
            <w:rFonts w:ascii="Cambria Math" w:eastAsia="Cambria Math" w:hAnsi="Cambria Math" w:cs="Cambria Math"/>
          </w:rPr>
          <m:t>S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​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j</m:t>
                    </m:r>
                  </m:sub>
                </m:sSub>
              </m:e>
            </m:d>
          </m:e>
        </m:nary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y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max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e>
        </m:d>
      </m:oMath>
      <w:r>
        <w:t xml:space="preserve">，充分条件</w:t>
      </w:r>
      <m:oMath>
        <m:r>
          <w:rPr>
            <w:rFonts w:ascii="Cambria Math" w:eastAsia="Cambria Math" w:hAnsi="Cambria Math" w:cs="Cambria Math"/>
          </w:rPr>
          <m:t>S</m:t>
        </m:r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y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63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t xml:space="preserve">保证所有前缀和、符号乘法及与掩码的最终加法不溢出。转换前检查符号、单机器字及逐项幅值不超有符号64位最大值，用无符号128位累计</w:t>
      </w:r>
      <m:oMath>
        <m:r>
          <w:rPr>
            <w:rFonts w:ascii="Cambria Math" w:eastAsia="Cambria Math" w:hAnsi="Cambria Math" w:cs="Cambria Math"/>
          </w:rPr>
          <m:t>S</m:t>
        </m:r>
      </m:oMath>
      <w:r>
        <w:t xml:space="preserve">并检查总界；不满足则回退原多精度路径。预检查不耗随机币，其他输入仍受原框架前提约束。有限边界与固定币检查不推出全域等价。</w:t>
      </w:r>
    </w:p>
    <w:p w14:paraId="58DD0C9B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（2）模乘。要求正模数</w:t>
      </w:r>
      <m:oMath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63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t xml:space="preserve">，标量和系数均为单机器字；以无符号64位幅值先模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 xml:space="preserve">约减再恢复符号，以128位整数完成乘法与中心化约减，避免在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63</m:t>
            </m:r>
          </m:sup>
        </m:sSup>
      </m:oMath>
      <w:r>
        <w:t xml:space="preserve">直接取有符号绝对值溢出。不满足前提回通用路径；39组边界含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63</m:t>
            </m:r>
          </m:sup>
        </m:sSup>
        <m:r>
          <w:rPr>
            <w:rFonts w:ascii="Cambria Math" w:eastAsia="Cambria Math" w:hAnsi="Cambria Math" w:cs="Cambria Math"/>
          </w:rPr>
          <m:t> </m:t>
        </m:r>
        <m:r>
          <m:rPr>
            <m:sty m:val="p"/>
          </m:rPr>
          <w:rPr>
            <w:rFonts w:ascii="Cambria Math" w:eastAsia="Cambria Math" w:hAnsi="Cambria Math" w:cs="Cambria Math"/>
          </w:rPr>
          <m:t>mod</m:t>
        </m:r>
        <m:r>
          <w:rPr>
            <w:rFonts w:ascii="Cambria Math" w:eastAsia="Cambria Math" w:hAnsi="Cambria Math" w:cs="Cambria Math"/>
          </w:rPr>
          <m:t> 12289</m:t>
        </m:r>
        <m:r>
          <m:rPr>
            <m:sty m:val="p"/>
          </m:rPr>
          <w:rPr>
            <w:rFonts w:ascii="Cambria Math" w:eastAsia="Cambria Math" w:hAnsi="Cambria Math" w:cs="Cambria Math"/>
          </w:rPr>
          <m:t>=±</m:t>
        </m:r>
        <m:r>
          <w:rPr>
            <w:rFonts w:ascii="Cambria Math" w:eastAsia="Cambria Math" w:hAnsi="Cambria Math" w:cs="Cambria Math"/>
          </w:rPr>
          <m:t>2832</m:t>
        </m:r>
      </m:oMath>
      <w:r>
        <w:t xml:space="preserve">。</w:t>
      </w:r>
    </w:p>
    <w:p w14:paraId="33397A90" w14:textId="77777777" w:rsidR="00223A64" w:rsidRDefault="00000000">
      <w:pPr>
        <w:widowControl/>
        <w:snapToGrid w:val="0"/>
        <w:spacing w:line="276" w:lineRule="auto"/>
        <w:ind w:firstLine="420"/>
      </w:pPr>
      <w:r>
        <w:t>（3）浮点边界。glibc文档[18]不承诺一般数学函数正确舍入，不能假设全域固定误差。200个影子证明共2,114调用，1,497候选无所测差异、617正指数回退，其余原因零命中不证全域；最终始终返回原MPFR（每证明MPFR块均值约0.065 ms）。</w:t>
      </w:r>
    </w:p>
    <w:p w14:paraId="3F1FC180" w14:textId="77777777" w:rsidR="00223A64" w:rsidRDefault="00000000">
      <w:pPr>
        <w:keepNext/>
        <w:widowControl/>
        <w:snapToGrid w:val="0"/>
        <w:spacing w:before="80" w:after="50" w:line="276" w:lineRule="auto"/>
      </w:pPr>
      <w:r>
        <w:rPr>
          <w:rFonts w:eastAsia="黑体"/>
          <w:sz w:val="28"/>
          <w:szCs w:val="28"/>
        </w:rPr>
        <w:t xml:space="preserve">4 </w:t>
      </w:r>
      <w:r>
        <w:rPr>
          <w:rFonts w:eastAsia="黑体"/>
          <w:sz w:val="28"/>
          <w:szCs w:val="28"/>
        </w:rPr>
        <w:t>实验评估</w:t>
      </w:r>
    </w:p>
    <w:p w14:paraId="404F2783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4.1 </w:t>
      </w:r>
      <w:r>
        <w:rPr>
          <w:rFonts w:eastAsia="黑体"/>
        </w:rPr>
        <w:t>实验环境和对照设计</w:t>
      </w:r>
    </w:p>
    <w:p w14:paraId="37ABA887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环境为i5-13400F、Linux 6.8.0-138-generic、glibc 2.35、Python 3.10.12/GCC 11.4，AVX2/AES/FMA且禁AVX-512，绑定CPU 0。省电调频、偏性能偏好下起止快照均4.1 GHz、46°C/54°C，未连续监测，不宣称固定频率。源码起点为提交10eafeca（另核对b958e247）。</w:t>
      </w:r>
    </w:p>
    <w:p>
      <w:pPr>
        <w:spacing w:line="20" w:lineRule="exact" w:before="0" w:after="0"/>
        <w:sectPr w:rsidR="00223A64">
          <w:type w:val="continuous"/>
          <w:pgSz w:w="11906" w:h="16838"/>
          <w:pgMar w:top="1440" w:right="1800" w:bottom="1440" w:left="1800" w:header="0" w:footer="0" w:gutter="0"/>
          <w:cols w:num="2" w:space="424"/>
          <w:formProt w:val="0"/>
          <w:docGrid w:type="lines" w:linePitch="312"/>
        </w:sectPr>
      </w:pPr>
    </w:p>
    <w:p w14:paraId="04A953D1" w14:textId="77777777" w:rsidR="00223A64" w:rsidRDefault="00000000">
      <w:pPr>
        <w:keepNext/>
        <w:widowControl/>
        <w:snapToGrid w:val="0"/>
        <w:spacing w:before="60" w:after="60" w:line="276" w:lineRule="auto"/>
        <w:jc w:val="center"/>
      </w:pPr>
      <w:r>
        <w:t xml:space="preserve">表1 严格验证主结果 每组合600次；时间ms，证明B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bottom w:val="single" w:sz="6" w:color="000000"/>
          <w:left w:val="nil" w:sz="6" w:color="000000"/>
          <w:right w:val="nil" w:sz="6" w:color="000000"/>
          <w:insideH w:val="nil" w:sz="6" w:color="000000"/>
          <w:insideV w:val="nil" w:sz="6" w:color="000000"/>
        </w:tblBorders>
      </w:tblPr>
      <w:tblGrid>
        <w:gridCol w:w="624"/>
        <w:gridCol w:w="680"/>
        <w:gridCol w:w="850"/>
        <w:gridCol w:w="850"/>
        <w:gridCol w:w="850"/>
        <w:gridCol w:w="850"/>
        <w:gridCol w:w="850"/>
        <w:gridCol w:w="680"/>
        <w:gridCol w:w="1474"/>
      </w:tblGrid>
      <w:tr>
        <w:trPr>
          <w:cantSplit/>
          <w:tblHeader/>
        </w:trPr>
        <w:tc>
          <w:tcPr>
            <w:tcW w:type="dxa" w:w="624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负载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版本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生成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验证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合计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中位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P95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K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  <w:tcBorders>
              <w:bottom w:val="single" w:sz="4"/>
            </w:tcBorders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证明</w:t>
            </w:r>
          </w:p>
        </w:tc>
      </w:tr>
      <w:tr>
        <w:trPr>
          <w:cantSplit/>
        </w:trPr>
        <w:tc>
          <w:tcPr>
            <w:tcW w:type="dxa" w:w="624"/>
            <w:vMerge w:val="restart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sz w:val="21"/>
              </w:rPr>
              <w:t>重复</w:t>
              <w:br/>
              <w:t>出示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基线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76.32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32.97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109.30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99.58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181.37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6.46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29,115.22</w:t>
            </w:r>
          </w:p>
        </w:tc>
      </w:tr>
      <w:tr>
        <w:trPr>
          <w:cantSplit/>
        </w:trPr>
        <w:tc>
          <w:tcPr>
            <w:tcW w:type="dxa" w:w="624"/>
            <w:vMerge/>
            <w:tcMar>
              <w:top w:w="25" w:type="dxa"/>
              <w:left w:w="40" w:type="dxa"/>
              <w:bottom w:w="25" w:type="dxa"/>
              <w:right w:w="40" w:type="dxa"/>
            </w:tcMar>
          </w:tcPr>
          <w:p/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填充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50.17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19.28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69.45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61.80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113.20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5.93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29,115.61</w:t>
            </w:r>
          </w:p>
        </w:tc>
      </w:tr>
      <w:tr>
        <w:trPr>
          <w:cantSplit/>
        </w:trPr>
        <w:tc>
          <w:tcPr>
            <w:tcW w:type="dxa" w:w="624"/>
            <w:vMerge/>
            <w:tcMar>
              <w:top w:w="25" w:type="dxa"/>
              <w:left w:w="40" w:type="dxa"/>
              <w:bottom w:w="25" w:type="dxa"/>
              <w:right w:w="40" w:type="dxa"/>
            </w:tcMar>
          </w:tcPr>
          <w:p/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紧致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48.45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18.34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66.79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58.42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110.27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5.99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28,494.32</w:t>
            </w:r>
          </w:p>
        </w:tc>
      </w:tr>
      <w:tr>
        <w:trPr>
          <w:cantSplit/>
        </w:trPr>
        <w:tc>
          <w:tcPr>
            <w:tcW w:type="dxa" w:w="624"/>
            <w:vMerge w:val="restart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sz w:val="21"/>
              </w:rPr>
              <w:t>会话</w:t>
              <w:br/>
              <w:t>重建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基线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78.10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35.95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114.05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103.59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173.06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6.01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29,116.80</w:t>
            </w:r>
          </w:p>
        </w:tc>
      </w:tr>
      <w:tr>
        <w:trPr>
          <w:cantSplit/>
        </w:trPr>
        <w:tc>
          <w:tcPr>
            <w:tcW w:type="dxa" w:w="624"/>
            <w:vMerge/>
            <w:tcMar>
              <w:top w:w="25" w:type="dxa"/>
              <w:left w:w="40" w:type="dxa"/>
              <w:bottom w:w="25" w:type="dxa"/>
              <w:right w:w="40" w:type="dxa"/>
            </w:tcMar>
          </w:tcPr>
          <w:p/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填充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63.16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27.21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90.37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82.20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144.31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6.80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29,115.70</w:t>
            </w:r>
          </w:p>
        </w:tc>
      </w:tr>
      <w:tr>
        <w:trPr>
          <w:cantSplit/>
        </w:trPr>
        <w:tc>
          <w:tcPr>
            <w:tcW w:type="dxa" w:w="624"/>
            <w:vMerge/>
            <w:tcMar>
              <w:top w:w="25" w:type="dxa"/>
              <w:left w:w="40" w:type="dxa"/>
              <w:bottom w:w="25" w:type="dxa"/>
              <w:right w:w="40" w:type="dxa"/>
            </w:tcMar>
          </w:tcPr>
          <w:p/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紧致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58.16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26.00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84.16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75.07</w:t>
            </w:r>
          </w:p>
        </w:tc>
        <w:tc>
          <w:tcPr>
            <w:tcW w:type="dxa" w:w="85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128.61</w:t>
            </w:r>
          </w:p>
        </w:tc>
        <w:tc>
          <w:tcPr>
            <w:tcW w:type="dxa" w:w="680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6.18</w:t>
            </w:r>
          </w:p>
        </w:tc>
        <w:tc>
          <w:tcPr>
            <w:tcW w:type="dxa" w:w="1474"/>
            <w:tcMar>
              <w:top w:w="25" w:type="dxa"/>
              <w:left w:w="40" w:type="dxa"/>
              <w:bottom w:w="25" w:type="dxa"/>
              <w:right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28,495.44</w:t>
            </w:r>
          </w:p>
        </w:tc>
      </w:tr>
    </w:tbl>
    <w:p>
      <w:pPr>
        <w:spacing w:line="20" w:lineRule="exact" w:before="0" w:after="0"/>
        <w:sectPr w:rsidR="00223A64">
          <w:type w:val="continuous"/>
          <w:pgSz w:w="11906" w:h="16838"/>
          <w:pgMar w:top="1440" w:right="1800" w:bottom="1440" w:left="1800" w:header="0" w:footer="0" w:gutter="0"/>
          <w:cols w:num="1" w:space="424"/>
          <w:formProt w:val="0"/>
          <w:docGrid w:type="lines" w:linePitch="312"/>
        </w:sectPr>
      </w:pPr>
    </w:p>
    <w:p w14:paraId="673C393F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三版本×两类生命周期×默认/严格验证×三批次，每组合每批200次，共7,200次，每组合</w:t>
      </w:r>
      <m:oMath>
        <m:r>
          <w:rPr>
            <w:rFonts w:ascii="Cambria Math" w:eastAsia="Cambria Math" w:hAnsi="Cambria Math" w:cs="Cambria Math"/>
          </w:rPr>
          <m:t>n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600</m:t>
        </m:r>
      </m:oMath>
      <w:r>
        <w:t xml:space="preserve">。每批10块，块内随机排列12组合各20次；每组合启新进程并构造新密钥/对象，预热2次。重复出示为一次签发后连续出示；会话重建每次重建三方对象并重新签发，但仍只计本地出示生成/验证，可能受进程公共状态影响。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={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4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5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；三批同机连续时段，交错不能排除全部漂移。</w:t>
      </w:r>
    </w:p>
    <w:p w14:paraId="0C6D1F46" w14:textId="77777777" w:rsidR="00223A64" w:rsidRDefault="00000000">
      <w:pPr>
        <w:widowControl/>
        <w:snapToGrid w:val="0"/>
        <w:spacing w:line="276" w:lineRule="auto"/>
        <w:ind w:firstLine="420"/>
      </w:pPr>
      <w:r>
        <w:t>两验证模式用独立随机性，非配对开关；计时不固定币或强制路径。辅助与主计时共12,480条，子集/影子分列；历史顺序累积结果另行归档，不混统。</w:t>
      </w:r>
    </w:p>
    <w:p w14:paraId="51557DCC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归档的406任务哈希、14项脚本/输入与7版快照核对一致，JSONL复算吻合。填充/紧致共用核心库，关系、参数及绑定模块有别。</w:t>
      </w:r>
    </w:p>
    <w:p w14:paraId="57C7CBE2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4.2 性能与分块归因</w:t>
      </w:r>
    </w:p>
    <w:p w14:paraId="26E56F99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本地耗时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show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prove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verify</m:t>
            </m:r>
          </m:sub>
        </m:sSub>
      </m:oMath>
      <w:r>
        <w:t xml:space="preserve">不含重新签发、初始化及网络；大小仅计证明字节。表1分列生成、验证及尾部，P95用最近秩法，无平滑/截尾；每组合600次且均接受，显示值相加可能差末位；K列为拒绝尝试数均值。</w:t>
      </w:r>
    </w:p>
    <w:p w14:paraId="6B9E963F" w14:textId="77777777" w:rsidR="00223A64" w:rsidRDefault="00000000">
      <w:pPr>
        <w:widowControl/>
        <w:snapToGrid w:val="0"/>
        <w:spacing w:line="276" w:lineRule="auto" w:after="40"/>
        <w:ind w:firstLine="420"/>
      </w:pPr>
      <w:r>
        <w:t xml:space="preserve">图2分解生成/验证均值，表1保留精确值及尾部。基线至紧致的总均值下降38.89%/26.21%，各30个对应块均改善；三批分别下降40.55%/37.89%/38.19%及26.25%/25.04%/27.33%。填充包含多项改动，整体收益不能归于单项函数；会话重建下基线/填充/紧致的签发两段均值合计59.01/41.21/40.55 ms，不并入出示计时。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484000" cy="2015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0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sz w:val="21"/>
        </w:rPr>
        <w:t>图2 严格验证的生成与验证均值</w:t>
      </w:r>
    </w:p>
    <w:p w14:paraId="694F28CC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填充至紧致仅改关系/参数，总均值额外下降3.83%/6.87%，验证均值降4.89%/4.42%。K不同；按</w:t>
      </w:r>
      <m:oMath>
        <m:sSub>
          <m:e>
            <m:r>
              <m:t>T</m:t>
            </m:r>
          </m:e>
          <m:sub>
            <m:r>
              <m:t>prove</m:t>
            </m:r>
          </m:sub>
        </m:sSub>
        <m:r>
          <m:t>=a+bK+e</m:t>
        </m:r>
      </m:oMath>
      <w:r>
        <w:t xml:space="preserve">在K=5.5处比较生成预测，仅作描述，非完整重试成本的因果分离（补充材料S2、表S3、图S1）。</w:t>
      </w:r>
    </w:p>
    <w:p w14:paraId="1CDD119F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每负载30对块按批次分层、批内重抽25,000次（种子20261020），计算均值比的95% Bootstrap百分位区间（图3）。降幅3.83%［−0.41%, 8.39%］/6.87%［2.82%, 10.69%］，绝对差2.66/6.21 ms；改善块15/30和21/30。前者跨零且局部负收益，不能称逐次稳定加速。区间条件于三批记录，未消除重试差异。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484000" cy="1800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1800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sz w:val="21"/>
        </w:rPr>
        <w:t>图3 紧致化增量及95% Bootstrap区间</w:t>
      </w:r>
    </w:p>
    <w:p w14:paraId="6F03B030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两负载紧致最大耗时168.73/226.86 ms，超过100 ms者由基线296/600、358/600降至56/600、128/600；P95见表1，有限样本不保证硬实时。默认紧致均值为68.02/85.57 ms；严格模式峰值RSS为68.62/88.86 MiB。明细及分布见补充材料S2、表S2—S3、图S2；独立模式差不代表检查净成本。</w:t>
      </w:r>
    </w:p>
    <w:p w14:paraId="7B8B0696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4.3 </w:t>
      </w:r>
      <w:r>
        <w:rPr>
          <w:rFonts w:eastAsia="黑体"/>
        </w:rPr>
        <w:t>首次成本与复用摊销</w:t>
      </w:r>
    </w:p>
    <w:p w14:paraId="1F88B117" w14:textId="77777777" w:rsidR="00223A64" w:rsidRDefault="00000000">
      <w:pPr>
        <w:widowControl/>
        <w:snapToGrid w:val="0"/>
        <w:spacing w:line="276" w:lineRule="auto"/>
        <w:ind w:firstLine="420"/>
      </w:pPr>
      <w:r>
        <w:t>五版本各三次独立对象生命周期，无预热出示256次；对</w:t>
      </w:r>
      <m:oMath>
        <m:r>
          <w:rPr>
            <w:rFonts w:ascii="Cambria Math" w:eastAsia="Cambria Math" w:hAnsi="Cambria Math" w:cs="Cambria Math"/>
          </w:rPr>
          <m:t>N</m:t>
        </m:r>
        <m:r>
          <m:rPr>
            <m:sty m:val="p"/>
          </m:rPr>
          <w:rPr>
            <w:rFonts w:ascii="Cambria Math" w:eastAsia="Cambria Math" w:hAnsi="Cambria Math" w:cs="Cambria Math"/>
          </w:rPr>
          <m:t>∈{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4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8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16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32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64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128</m:t>
        </m:r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256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>共用序列前缀，将用户/验证者初始化及前N次出示合计除N，排除签发、发行者初始化、导入及网络。各前缀非独立重复。图4展示完整摊销曲线；定义、端点及大尺寸图见补充材料第S3节、式S1、表S4和图S3。</w:t>
      </w:r>
    </w:p>
    <w:p w14:paraId="14EC520D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复用组合采用脚本层复用，双层复用另加底层缓存；后者首次成本较高，但</w:t>
      </w:r>
      <m:oMath>
        <m:r>
          <w:rPr>
            <w:rFonts w:ascii="Cambria Math" w:eastAsia="Cambria Math" w:hAnsi="Cambria Math" w:cs="Cambria Math"/>
          </w:rPr>
          <m:t>N=256</m:t>
        </m:r>
      </m:oMath>
      <w:r>
        <w:t xml:space="preserve">由84.50降至78.08 ms；紧致</w:t>
      </w:r>
      <m:oMath>
        <m:r>
          <w:rPr>
            <w:rFonts w:ascii="Cambria Math" w:eastAsia="Cambria Math" w:hAnsi="Cambria Math" w:cs="Cambria Math"/>
          </w:rPr>
          <m:t>N=1</m:t>
        </m:r>
      </m:oMath>
      <w:r>
        <w:t xml:space="preserve">/</w:t>
      </w:r>
      <m:oMath>
        <m:r>
          <w:rPr>
            <w:rFonts w:ascii="Cambria Math" w:eastAsia="Cambria Math" w:hAnsi="Cambria Math" w:cs="Cambria Math"/>
          </w:rPr>
          <m:t>N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256</m:t>
        </m:r>
      </m:oMath>
      <w:r>
        <w:t xml:space="preserve">为125.26/66.26 ms。三次含随机重试且未隔离准备成本，不能判定通用盈亏平衡点。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484000" cy="2159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15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sz w:val="21"/>
        </w:rPr>
        <w:t>图4 服务摊销曲线。点为三次均值，误差线为实际最小/最大值。</w:t>
      </w:r>
    </w:p>
    <w:p w14:paraId="6385FF29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4.4 </w:t>
      </w:r>
      <w:r>
        <w:rPr>
          <w:rFonts w:eastAsia="黑体"/>
        </w:rPr>
        <w:t>披露策略变化与同</w:t>
      </w:r>
      <w:r>
        <w:rPr>
          <w:rFonts w:eastAsia="黑体"/>
        </w:rPr>
        <w:t xml:space="preserve"> 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>紧致化</w:t>
      </w:r>
    </w:p>
    <w:p w14:paraId="269AB42B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三复用版本在固定/交替/随机合法集（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</m:oMath>
      <w:r>
        <w:t xml:space="preserve">）下各预热2次、出示100次，共用种子1729计划；累计重建0/200/198次，400命中为内部事件、非会话命中率。紧致优化在固定/交替/随机策略下的出示均值为67.84/74.76/73.96 ms；单条非交错序列只解释重建机制，不估通用切换罚时。</w:t>
      </w:r>
      <w:r>
        <w:t>完整策略对照见补充表S5。</w:t>
      </w:r>
    </w:p>
    <w:p w14:paraId="17FE9B28" w14:textId="77777777" w:rsidR="00223A64" w:rsidRDefault="00000000">
      <w:pPr>
        <w:widowControl/>
        <w:snapToGrid w:val="0"/>
        <w:spacing w:line="276" w:lineRule="auto" w:after="40"/>
        <w:ind w:firstLine="420"/>
      </w:pPr>
      <w:r>
        <w:t xml:space="preserve">图5同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 xml:space="preserve">比较填充/紧致，各30个新鲜证明，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8</m:t>
        </m:r>
      </m:oMath>
      <w:r>
        <w:t xml:space="preserve">、</w:t>
      </w:r>
      <m:oMath>
        <m:r>
          <w:rPr>
            <w:rFonts w:ascii="Cambria Math" w:eastAsia="Cambria Math" w:hAnsi="Cambria Math" w:cs="Cambria Math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</w:rPr>
          <m:t>={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}</m:t>
        </m:r>
      </m:oMath>
      <w:r>
        <w:t xml:space="preserve">，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</m:oMath>
      <w:r>
        <w:t xml:space="preserve">共用填充配置。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</m:oMath>
      <w:r>
        <w:t xml:space="preserve">均值29,118.77/28,497.03 B，少621.73 B（2.14%）；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8</m:t>
        </m:r>
      </m:oMath>
      <w:r>
        <w:t xml:space="preserve">少1,658.63 B（5.70%）。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</m:t>
        </m:r>
      </m:oMath>
      <w:r>
        <w:t xml:space="preserve">的0.50 B差异属独立采样，跨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 xml:space="preserve">不作同任务压缩比。</w:t>
      </w:r>
    </w:p>
    <w:p w14:paraId="30F2399A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大小缩减随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 xml:space="preserve">增加，时间不单调：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</m:oMath>
      <w:r>
        <w:t xml:space="preserve">/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4</m:t>
        </m:r>
      </m:oMath>
      <w:r>
        <w:t xml:space="preserve">紧致为71.27/69.65 ms，高于填充68.04/65.86 ms，</w:t>
      </w:r>
      <m:oMath>
        <m:r>
          <w:rPr>
            <w:rFonts w:ascii="Cambria Math" w:eastAsia="Cambria Math" w:hAnsi="Cambria Math" w:cs="Cambria Math"/>
          </w:rPr>
          <m:t>k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</m:oMath>
      <w:r>
        <w:t xml:space="preserve">近持平。扫描顺序运行且样本少，时间归因以交错主实验为准，不能推断披露越多越快。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484000" cy="1907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190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sz w:val="21"/>
        </w:rPr>
        <w:t>图5 同披露数量的证明大小。范围为实际最小/最大值，1 KB=1000 B。</w:t>
      </w:r>
    </w:p>
    <w:p w14:paraId="5798A0E9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4.5 </w:t>
      </w:r>
      <w:r>
        <w:rPr>
          <w:rFonts w:eastAsia="黑体"/>
        </w:rPr>
        <w:t>参数一致性与安全模型诊断</w:t>
      </w:r>
    </w:p>
    <w:p w14:paraId="1561EDED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紧致化保留模数、标准差及范数目标，改变维度、二进制约束、索引和参数实例（补充表S8a）。单项诊断及投影对应非整协议安全保持的完整证明。</w:t>
      </w:r>
    </w:p>
    <w:p w14:paraId="4A77B5C7" w14:textId="77777777" w:rsidR="00223A64" w:rsidRDefault="00000000">
      <w:pPr>
        <w:widowControl/>
        <w:snapToGrid w:val="0"/>
        <w:spacing w:line="276" w:lineRule="auto"/>
        <w:ind w:firstLine="420"/>
      </w:pPr>
      <w:r>
        <w:t>出示</w:t>
      </w:r>
      <m:oMath>
        <m:r>
          <m:t>η</m:t>
        </m:r>
      </m:oMath>
      <w:r>
        <w:t>=140（挑战参数）、</w:t>
      </w:r>
      <m:oMath>
        <m:r>
          <m:t>d</m:t>
        </m:r>
      </m:oMath>
      <w:r>
        <w:t>=64、</w:t>
      </w:r>
      <m:oMath>
        <m:sSub>
          <m:e>
            <m:r>
              <m:t>k</m:t>
            </m:r>
          </m:e>
          <m:sub>
            <m:r>
              <m:t>MSIS</m:t>
            </m:r>
          </m:sub>
        </m:sSub>
      </m:oMath>
      <w:r>
        <w:t>=20（秩）。</w:t>
      </w:r>
      <m:oMath>
        <m:r>
          <m:t>B</m:t>
        </m:r>
      </m:oMath>
      <w:r>
        <w:t>、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>、</w:t>
      </w:r>
      <m:oMath>
        <m:r>
          <m:t>β</m:t>
        </m:r>
      </m:oMath>
      <w:r>
        <w:t>分别为MSIS提取界、根Hermite因子和BKZ块大小。填充维度项为48+2，紧致为48−k+2；k=3时log₂B为40.173114/40.133841，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>=1.0043793/1.0043707。定义、六实例及各k单项MSIS诊断见补充材料S4、式S2、表S7—S8。</w:t>
      </w:r>
    </w:p>
    <w:p w14:paraId="6D858123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文献[19]的GSA/Core-SVP计价为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log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classical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0.292β</m:t>
        </m:r>
      </m:oMath>
      <w:r>
        <w:t xml:space="preserve"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log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quantum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0.265β</m:t>
        </m:r>
      </m:oMath>
      <w:r>
        <w:t xml:space="preserve">。出示MSIS的填充/紧致β=349/350，经典/量子log₂成本101.908/92.485与102.200/92.750；忽略次指数项及完整BKZ开销，非实测攻击、安全下界或整协议安全位数，完整Sage扫描未运行。</w:t>
      </w:r>
    </w:p>
    <w:p w14:paraId="35B8007F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两配置交互知识误差约</w:t>
      </w:r>
      <m:oMath>
        <m:r>
          <w:rPr>
            <w:rFonts w:ascii="Cambria Math" w:eastAsia="Cambria Math" w:hAnsi="Cambria Math" w:cs="Cambria Math"/>
          </w:rPr>
          <m:t>3.6734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39</m:t>
            </m:r>
          </m:sup>
        </m:sSup>
      </m:oMath>
      <w:r>
        <w:t xml:space="preserve">，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log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ε</m:t>
        </m:r>
        <m:r>
          <m:rPr>
            <m:sty m:val="p"/>
          </m:rPr>
          <w:rPr>
            <w:rFonts w:ascii="Cambria Math" w:eastAsia="Cambria Math" w:hAnsi="Cambria Math" w:cs="Cambria Math"/>
          </w:rPr>
          <m:t>≈</m:t>
        </m:r>
        <m:r>
          <w:rPr>
            <w:rFonts w:ascii="Cambria Math" w:eastAsia="Cambria Math" w:hAnsi="Cambria Math" w:cs="Cambria Math"/>
          </w:rPr>
          <m:t>127.678</m:t>
        </m:r>
      </m:oMath>
      <w:r>
        <w:t xml:space="preserve">，依赖相应MSIS假设；非计入查询及提取损失的FS ROM/QROM最终界。隐藏性、辅助原像不可伪造、零知识和匿名性仍依赖原构造。</w:t>
      </w:r>
    </w:p>
    <w:p w14:paraId="6F79D1CC" w14:textId="77777777" w:rsidR="00223A64" w:rsidRDefault="00000000">
      <w:pPr>
        <w:keepNext/>
        <w:widowControl/>
        <w:snapToGrid w:val="0"/>
        <w:spacing w:before="60" w:after="30" w:line="276" w:lineRule="auto"/>
      </w:pPr>
      <w:r>
        <w:rPr>
          <w:rFonts w:eastAsia="黑体"/>
        </w:rPr>
        <w:t xml:space="preserve">4.6 回归与影子诊断</w:t>
      </w:r>
    </w:p>
    <w:p w14:paraId="2F727353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固定币控制Python及原生源，种子1/2/3下基线与填充的公钥、请求、盲签名、证明字节一致；紧致少617/623/635 B，格式改变不要求字节相同。完整大小见补充表S9。</w:t>
      </w:r>
    </w:p>
    <w:p>
      <w:pPr>
        <w:spacing w:line="276" w:lineRule="auto"/>
      </w:pPr>
      <w:r>
        <w:t xml:space="preserve">交叉验证、全披露子集、守卫及模乘回归通过，强制回退与正常路径的本变体证明一致。独立smoke不并主计时；地址复用限受支持接口和当前单线程分配器。有限变异非攻击覆盖，无重复哈希仅为随机性观察；计数与回执见补充材料S5。</w:t>
      </w:r>
    </w:p>
    <w:p w14:paraId="2AB8DD15" w14:textId="77777777" w:rsidR="00223A64" w:rsidRDefault="00000000">
      <w:pPr>
        <w:keepNext/>
        <w:widowControl/>
        <w:snapToGrid w:val="0"/>
        <w:spacing w:before="80" w:after="50" w:line="276" w:lineRule="auto"/>
      </w:pPr>
      <w:r>
        <w:rPr>
          <w:rFonts w:eastAsia="黑体"/>
          <w:sz w:val="28"/>
          <w:szCs w:val="28"/>
        </w:rPr>
        <w:t xml:space="preserve">5 </w:t>
      </w:r>
      <w:r>
        <w:rPr>
          <w:rFonts w:eastAsia="黑体"/>
          <w:sz w:val="28"/>
          <w:szCs w:val="28"/>
        </w:rPr>
        <w:t>讨论与结论</w:t>
      </w:r>
    </w:p>
    <w:p w14:paraId="11063118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组合优化降低了所测本地开销，适于策略稳定的单线程调用；紧致化的重复出示增量区间跨零。同k=3少约622 B，是约29.12 KB证明的有限缩减，不代表网络端到端收益。</w:t>
      </w:r>
    </w:p>
    <w:p w14:paraId="5AFAFD34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结果限单机AVX2、单线程及受支持的缓存设置/清理接口；并发、常数时间和侧信道未评估。有限回归非全域等价，通用攻击模型非整协议证明；其他后端收益不可叠加。</w:t>
      </w:r>
    </w:p>
    <w:p w14:paraId="69D0A6AE" w14:textId="77777777" w:rsidR="00223A64" w:rsidRDefault="00000000">
      <w:pPr>
        <w:widowControl/>
        <w:snapToGrid w:val="0"/>
        <w:spacing w:line="276" w:lineRule="auto"/>
        <w:ind w:firstLine="420"/>
      </w:pPr>
      <w:r>
        <w:t xml:space="preserve">数据和代码：主批次e4_full_20261018_121816_c2df8c；代码、主实验数据与专项回归分别定位于附件1—3，包名及入口见补充材料S1、S5。历史E3不并主证据。</w:t>
      </w:r>
    </w:p>
    <w:p w14:paraId="0497458B" w14:textId="77777777" w:rsidR="00223A64" w:rsidRDefault="00000000">
      <w:pPr>
        <w:keepNext/>
        <w:widowControl/>
        <w:snapToGrid w:val="0"/>
        <w:spacing w:before="90" w:after="40" w:line="276" w:lineRule="auto"/>
      </w:pPr>
      <w:r>
        <w:rPr>
          <w:rFonts w:eastAsia="黑体"/>
        </w:rPr>
        <w:t>参考文献</w:t>
      </w:r>
      <w:r>
        <w:rPr>
          <w:rFonts w:eastAsia="黑体"/>
        </w:rPr>
        <w:t xml:space="preserve"> </w:t>
      </w:r>
      <w:proofErr w:type="gramStart"/>
      <w:r>
        <w:rPr>
          <w:rFonts w:eastAsia="黑体"/>
        </w:rPr>
        <w:t>(References)</w:t>
      </w:r>
      <w:proofErr w:type="gramEnd"/>
    </w:p>
    <w:p w14:paraId="3A53A14A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1" w:name="bib1"/>
      <w:r>
        <w:t>[1]</w:t>
      </w:r>
      <w:bookmarkEnd w:id="21"/>
      <w:r>
        <w:t xml:space="preserve"> Jeudy C, Roux-Langlois A, Sanders O. Lattice Signature with Efficient Protocols, Application to Anonymous Credentials[C]//CRYPTO 2023, Part II, LNCS 14082. Springer, 2023: 351–383. DOI: 10.1007/978-3-031-38545-2_12.</w:t>
      </w:r>
    </w:p>
    <w:p w14:paraId="355F6BC6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2" w:name="bib2"/>
      <w:r>
        <w:t>[2]</w:t>
      </w:r>
      <w:bookmarkEnd w:id="22"/>
      <w:r>
        <w:t xml:space="preserve"> Lai Q, Chen C, Liu F H, </w:t>
      </w:r>
      <w:proofErr w:type="spellStart"/>
      <w:r>
        <w:t>Lysyanskaya</w:t>
      </w:r>
      <w:proofErr w:type="spellEnd"/>
      <w:r>
        <w:t xml:space="preserve"> A, Wang Z. Lattice-Based Commit-Transferrable Signatures and Applications to Anonymous Credentials[EB/OL]. IACR </w:t>
      </w:r>
      <w:proofErr w:type="spellStart"/>
      <w:r>
        <w:t>ePrint</w:t>
      </w:r>
      <w:proofErr w:type="spellEnd"/>
      <w:r>
        <w:t xml:space="preserve"> 2023/766, 2023. Preprint. https://eprint.iacr.org/2023/766.</w:t>
      </w:r>
    </w:p>
    <w:p w14:paraId="28B6673E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3" w:name="bib3"/>
      <w:r>
        <w:t>[3]</w:t>
      </w:r>
      <w:bookmarkEnd w:id="23"/>
      <w:r>
        <w:t xml:space="preserve"> Argo S, </w:t>
      </w:r>
      <w:proofErr w:type="spellStart"/>
      <w:r>
        <w:t>Güneysu</w:t>
      </w:r>
      <w:proofErr w:type="spellEnd"/>
      <w:r>
        <w:t xml:space="preserve"> T, Jeudy C, Land G, Roux-Langlois A, Sanders O. Practical Post-Quantum Signatures for Privacy[C]//ACM CCS 2024. ACM, 2024: 1523–1537. DOI: 10.1145/3658644.3670297. Full version: IACR </w:t>
      </w:r>
      <w:proofErr w:type="spellStart"/>
      <w:r>
        <w:t>ePrint</w:t>
      </w:r>
      <w:proofErr w:type="spellEnd"/>
      <w:r>
        <w:t xml:space="preserve"> 2024/131.</w:t>
      </w:r>
    </w:p>
    <w:p w14:paraId="78A386F8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4" w:name="bib4"/>
      <w:r>
        <w:t>[4]</w:t>
      </w:r>
      <w:bookmarkEnd w:id="24"/>
      <w:r>
        <w:t xml:space="preserve"> Jeudy C, Sanders O. Worst-Case Lattice Sampler with Truncated Gadgets and Applications[C]//ASIACRYPT 2025, Part III, LNCS 16247. Springer, 2026: 200–232. DOI: </w:t>
      </w:r>
      <w:r>
        <w:lastRenderedPageBreak/>
        <w:t xml:space="preserve">10.1007/978-981-95-5099-9_7. Full version: IACR </w:t>
      </w:r>
      <w:proofErr w:type="spellStart"/>
      <w:r>
        <w:t>ePrint</w:t>
      </w:r>
      <w:proofErr w:type="spellEnd"/>
      <w:r>
        <w:t xml:space="preserve"> 2024/1952.</w:t>
      </w:r>
    </w:p>
    <w:p w14:paraId="347DC2F1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5" w:name="bib5"/>
      <w:r>
        <w:t>[5]</w:t>
      </w:r>
      <w:bookmarkEnd w:id="25"/>
      <w:r>
        <w:t xml:space="preserve"> Jeudy C, Sanders O. Tag-Friendly Lattice Sampler and Applications[C]//ASIACRYPT 2026, forthcoming. IACR </w:t>
      </w:r>
      <w:proofErr w:type="spellStart"/>
      <w:r>
        <w:t>ePrint</w:t>
      </w:r>
      <w:proofErr w:type="spellEnd"/>
      <w:r>
        <w:t xml:space="preserve"> 2026/083, 2026. https://eprint.iacr.org/2026/083.</w:t>
      </w:r>
    </w:p>
    <w:p w14:paraId="57AC724A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6" w:name="bib6"/>
      <w:r>
        <w:t>[6]</w:t>
      </w:r>
      <w:bookmarkEnd w:id="26"/>
      <w:r>
        <w:t xml:space="preserve"> Jeudy C, Sanders O. Compact Lattice Anonymous Credentials from Tighter Approximate Range Proofs[EB/OL]. IACR </w:t>
      </w:r>
      <w:proofErr w:type="spellStart"/>
      <w:r>
        <w:t>ePrint</w:t>
      </w:r>
      <w:proofErr w:type="spellEnd"/>
      <w:r>
        <w:t xml:space="preserve"> 2026/1920, 2026. Preprint; revised 2026-09-23. https://eprint.iacr.org/2026/1920.</w:t>
      </w:r>
    </w:p>
    <w:p w14:paraId="0DA95974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7" w:name="bib7"/>
      <w:r>
        <w:t>[7]</w:t>
      </w:r>
      <w:bookmarkEnd w:id="27"/>
      <w:r>
        <w:t xml:space="preserve"> Bootle J, Lyubashevsky V, Nguyen N K, </w:t>
      </w:r>
      <w:proofErr w:type="spellStart"/>
      <w:r>
        <w:t>Sorniotti</w:t>
      </w:r>
      <w:proofErr w:type="spellEnd"/>
      <w:r>
        <w:t xml:space="preserve"> A. A Framework for Practical Anonymous Credentials from Lattices[C]//CRYPTO 2023, Part II, LNCS 14082. Springer, 2023: 384–417. DOI: 10.1007/978-3-031-38545-2_13. Full version: IACR </w:t>
      </w:r>
      <w:proofErr w:type="spellStart"/>
      <w:r>
        <w:t>ePrint</w:t>
      </w:r>
      <w:proofErr w:type="spellEnd"/>
      <w:r>
        <w:t xml:space="preserve"> 2023/560. https://eprint.iacr.org/2023/560.</w:t>
      </w:r>
    </w:p>
    <w:p w14:paraId="34D95F14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8" w:name="bib8"/>
      <w:r>
        <w:t>[8]</w:t>
      </w:r>
      <w:bookmarkEnd w:id="28"/>
      <w:r>
        <w:t xml:space="preserve"> Lyubashevsky V, Nguyen N K, </w:t>
      </w:r>
      <w:proofErr w:type="spellStart"/>
      <w:r>
        <w:t>Plançon</w:t>
      </w:r>
      <w:proofErr w:type="spellEnd"/>
      <w:r>
        <w:t xml:space="preserve"> M. Lattice-Based Zero-Knowledge Proofs and Applications: Shorter, Simpler, and More General[C]//CRYPTO 2022, Part II, LNCS 13508. Springer, 2022: 71–101. DOI: 10.1007/978-3-031-15979-4_3. Full version: IACR </w:t>
      </w:r>
      <w:proofErr w:type="spellStart"/>
      <w:r>
        <w:t>ePrint</w:t>
      </w:r>
      <w:proofErr w:type="spellEnd"/>
      <w:r>
        <w:t xml:space="preserve"> 2022/284.</w:t>
      </w:r>
    </w:p>
    <w:p w14:paraId="122154FD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29" w:name="bib9"/>
      <w:r>
        <w:t>[9]</w:t>
      </w:r>
      <w:bookmarkEnd w:id="29"/>
      <w:r>
        <w:t xml:space="preserve"> Lyubashevsky V, Seiler G, Steuer P. The </w:t>
      </w:r>
      <w:proofErr w:type="spellStart"/>
      <w:r>
        <w:t>LaZer</w:t>
      </w:r>
      <w:proofErr w:type="spellEnd"/>
      <w:r>
        <w:t xml:space="preserve"> Library: Lattice-Based Zero Knowledge and Succinct Proofs for Quantum-Safe Privacy[C]//ACM CCS 2024. ACM, 2024: 3125–3137. DOI: 10.1145/3658644.3690330. Full version: IACR </w:t>
      </w:r>
      <w:proofErr w:type="spellStart"/>
      <w:r>
        <w:t>ePrint</w:t>
      </w:r>
      <w:proofErr w:type="spellEnd"/>
      <w:r>
        <w:t xml:space="preserve"> 2024/1846.</w:t>
      </w:r>
    </w:p>
    <w:p w14:paraId="23C635C5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0" w:name="bib10"/>
      <w:r>
        <w:t>[10]</w:t>
      </w:r>
      <w:bookmarkEnd w:id="30"/>
      <w:r>
        <w:t xml:space="preserve"> </w:t>
      </w:r>
      <w:proofErr w:type="spellStart"/>
      <w:r>
        <w:t>Fouque</w:t>
      </w:r>
      <w:proofErr w:type="spellEnd"/>
      <w:r>
        <w:t xml:space="preserve"> P A, </w:t>
      </w:r>
      <w:proofErr w:type="spellStart"/>
      <w:r>
        <w:t>Hoffstein</w:t>
      </w:r>
      <w:proofErr w:type="spellEnd"/>
      <w:r>
        <w:t xml:space="preserve"> J, Kirchner P, et al. Falcon: Fast-Fourier Lattice-Based Compact Signatures over NTRU[R/OL]. Specification v1.2, 2020-10-01. https://falcon-sign.info/falcon.pdf.</w:t>
      </w:r>
    </w:p>
    <w:p w14:paraId="06098177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1" w:name="bib11"/>
      <w:r>
        <w:t>[11]</w:t>
      </w:r>
      <w:bookmarkEnd w:id="31"/>
      <w:r>
        <w:t xml:space="preserve"> </w:t>
      </w:r>
      <w:proofErr w:type="spellStart"/>
      <w:r>
        <w:t>Biasioli</w:t>
      </w:r>
      <w:proofErr w:type="spellEnd"/>
      <w:r>
        <w:t xml:space="preserve"> B, </w:t>
      </w:r>
      <w:proofErr w:type="spellStart"/>
      <w:r>
        <w:t>Bolboceanu</w:t>
      </w:r>
      <w:proofErr w:type="spellEnd"/>
      <w:r>
        <w:t xml:space="preserve"> M, Lyubashevsky V, Merino-Gallardo A, </w:t>
      </w:r>
      <w:proofErr w:type="spellStart"/>
      <w:r>
        <w:t>Osadnik</w:t>
      </w:r>
      <w:proofErr w:type="spellEnd"/>
      <w:r>
        <w:t xml:space="preserve"> M, Seiler G, Steuer P. A Toolkit for Succinct Lattice-Based Zero Knowledge Proofs[C]//ACM CCS 2026, forthcoming. IACR </w:t>
      </w:r>
      <w:proofErr w:type="spellStart"/>
      <w:r>
        <w:t>ePrint</w:t>
      </w:r>
      <w:proofErr w:type="spellEnd"/>
      <w:r>
        <w:t xml:space="preserve"> 2026/1289, 2026. https://eprint.iacr.org/2026/1289.</w:t>
      </w:r>
    </w:p>
    <w:p w14:paraId="35B85CDE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2" w:name="bib12"/>
      <w:r>
        <w:t>[12]</w:t>
      </w:r>
      <w:bookmarkEnd w:id="32"/>
      <w:r>
        <w:t xml:space="preserve"> Margaria D, Pino A, Vesco A, </w:t>
      </w:r>
      <w:proofErr w:type="spellStart"/>
      <w:r>
        <w:t>D’Alconzo</w:t>
      </w:r>
      <w:proofErr w:type="spellEnd"/>
      <w:r>
        <w:t xml:space="preserve"> G, Di Scala </w:t>
      </w:r>
      <w:proofErr w:type="gramStart"/>
      <w:r>
        <w:t>A</w:t>
      </w:r>
      <w:proofErr w:type="gramEnd"/>
      <w:r>
        <w:t xml:space="preserve"> J, Guglielmino E, Sanna C. Implementation of a Post-Quantum Anonymous Verifiable Credential Framework[C]//IEEE ISCC 2025 (QSNS). IEEE, 2025: 1–6. DOI: 10.1109/ISCC65549.2025.11325782. </w:t>
      </w:r>
      <w:r>
        <w:t>Author archive v3: https://zenodo.org/records/18259809.</w:t>
      </w:r>
    </w:p>
    <w:p w14:paraId="7CCF71AF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3" w:name="bib13"/>
      <w:r>
        <w:t>[13]</w:t>
      </w:r>
      <w:bookmarkEnd w:id="33"/>
      <w:r>
        <w:t xml:space="preserve"> Nguyen N K, Siemer J N. Tight Reductions for SIS-with-Hints Assumptions with Applications to Anonymous Credentials[C]//Public-Key Cryptography – PKC 2026, LNCS 16551. Springer, 2026: 103–135. DOI: 10.1007/978-3-032-26731-3_4. Major-revision full version: IACR </w:t>
      </w:r>
      <w:proofErr w:type="spellStart"/>
      <w:r>
        <w:t>ePrint</w:t>
      </w:r>
      <w:proofErr w:type="spellEnd"/>
      <w:r>
        <w:t xml:space="preserve"> 2026/291. https://eprint.iacr.org/2026/291.</w:t>
      </w:r>
    </w:p>
    <w:p w14:paraId="3D4939E4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4" w:name="bib14"/>
      <w:r>
        <w:t>[14]</w:t>
      </w:r>
      <w:bookmarkEnd w:id="34"/>
      <w:r>
        <w:t xml:space="preserve"> OpenSSL Project. </w:t>
      </w:r>
      <w:proofErr w:type="spellStart"/>
      <w:r>
        <w:t>EVP_DigestInit</w:t>
      </w:r>
      <w:proofErr w:type="spellEnd"/>
      <w:r>
        <w:t xml:space="preserve">, </w:t>
      </w:r>
      <w:proofErr w:type="spellStart"/>
      <w:r>
        <w:t xml:space="preserve">EVP_MD_CTX_copy_ex[EB/OL].</w:t>
      </w:r>
      <w:proofErr w:type="spellEnd"/>
      <w:r>
        <w:t xml:space="preserve"> OpenSSL 3.0 Manual Pages. https://docs.openssl.org/3.0/man3/EVP_DigestInit/. Accessed 2026-10-19.</w:t>
      </w:r>
    </w:p>
    <w:p w14:paraId="3D3EA849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5" w:name="bib15"/>
      <w:r>
        <w:t>[15]</w:t>
      </w:r>
      <w:bookmarkEnd w:id="35"/>
      <w:r>
        <w:t xml:space="preserve"> CRYSTALS Team (</w:t>
      </w:r>
      <w:proofErr w:type="spellStart"/>
      <w:r>
        <w:t>pq</w:t>
      </w:r>
      <w:proofErr w:type="spellEnd"/>
      <w:r>
        <w:t xml:space="preserve">-crystals). CRYSTALS-Dilithium Reference Implementation, ref/sign.c[EB/OL].</w:t>
      </w:r>
      <w:proofErr w:type="spellStart"/>
      <w:r>
        <w:t xml:space="preserve"/>
      </w:r>
      <w:proofErr w:type="spellEnd"/>
      <w:r>
        <w:t xml:space="preserve"> https://github.com/pq-crystals/dilithium. Official software page: https://pq-crystals.org/dilithium/software.shtml. Accessed 2026-10-19. Specification (v3.1, 2021-02-08): https://pq-crystals.org/dilithium/data/dilithium-specification-round3-20210208.pdf.</w:t>
      </w:r>
    </w:p>
    <w:p w14:paraId="27CAC4CC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6" w:name="bib16"/>
      <w:r>
        <w:t>[16]</w:t>
      </w:r>
      <w:bookmarkEnd w:id="36"/>
      <w:r>
        <w:t xml:space="preserve"> Zheng J, Zhu H, Song Z, Wang Z, Zhao Y. Optimized Vectorization Implementation of CRYSTALS-Dilithium[EB/OL]. arXiv:2306.01989v3, 2023-10-31. DOI: 10.48550/arXiv.2306.01989. Preprint. https://arxiv.org/abs/2306.01989v3.</w:t>
      </w:r>
    </w:p>
    <w:p w14:paraId="28EC9C81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7" w:name="bib17"/>
      <w:r>
        <w:t>[17]</w:t>
      </w:r>
      <w:bookmarkEnd w:id="37"/>
      <w:r>
        <w:t xml:space="preserve"> Ducas L, Nguyen P Q. Faster Gaussian Lattice Sampling Using Lazy Floating-Point Arithmetic[C]//ASIACRYPT 2012, LNCS 7658. Springer, 2012: 415–432. DOI: 10.1007/978-3-642-34961-4_26.</w:t>
      </w:r>
    </w:p>
    <w:p w14:paraId="183CC4E7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8" w:name="bib18"/>
      <w:r>
        <w:t>[18]</w:t>
      </w:r>
      <w:bookmarkEnd w:id="38"/>
      <w:r>
        <w:t xml:space="preserve"> Free Software Foundation. Errors in Math Functions[EB/OL]. The GNU C Library Reference Manual. https://sourceware.org/glibc/manual/latest/html_node/Errors-in-Math-Functions.html. Accessed 2026-10-19.</w:t>
      </w:r>
    </w:p>
    <w:p w14:paraId="6E5A82B2" w14:textId="77777777" w:rsidR="00223A64" w:rsidRDefault="00000000">
      <w:pPr>
        <w:keepNext w:val="0"/>
        <w:keepLines/>
        <w:widowControl/>
        <w:snapToGrid w:val="0"/>
        <w:spacing w:after="0" w:line="276" w:lineRule="auto"/>
      </w:pPr>
      <w:bookmarkStart w:id="39" w:name="bib19"/>
      <w:r>
        <w:t>[19]</w:t>
      </w:r>
      <w:bookmarkEnd w:id="39"/>
      <w:r>
        <w:t xml:space="preserve"> </w:t>
      </w:r>
      <w:proofErr w:type="spellStart"/>
      <w:r>
        <w:t>Alkim</w:t>
      </w:r>
      <w:proofErr w:type="spellEnd"/>
      <w:r>
        <w:t xml:space="preserve"> E, Ducas L, </w:t>
      </w:r>
      <w:proofErr w:type="spellStart"/>
      <w:r>
        <w:t>Pöppelmann</w:t>
      </w:r>
      <w:proofErr w:type="spellEnd"/>
      <w:r>
        <w:t xml:space="preserve"> T, Schwabe P. Post-quantum Key Exchange—A New Hope[C]//25th USENIX Security Symposium. USENIX Association, 2016: 327–343. https://www.usenix.org/conference/usenixsecurity16/technical-sessions/presentation/alkim. Full version: IACR </w:t>
      </w:r>
      <w:proofErr w:type="spellStart"/>
      <w:r>
        <w:t>ePrint</w:t>
      </w:r>
      <w:proofErr w:type="spellEnd"/>
      <w:r>
        <w:t xml:space="preserve"> 2015/1092.</w:t>
      </w:r>
    </w:p>
    <w:sectPr w:rsidR="00223A64">
      <w:type w:val="continuous"/>
      <w:pgSz w:w="11906" w:h="16838"/>
      <w:pgMar w:top="1440" w:right="1800" w:bottom="1440" w:left="1800" w:header="0" w:footer="0" w:gutter="0"/>
      <w:cols w:num="2" w:space="424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autoHyphenation/>
  <w:hyphenationZone w:val="0"/>
  <w:characterSpacingControl w:val="doNotCompress"/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64"/>
    <w:rsid w:val="00223A64"/>
    <w:rsid w:val="0076546F"/>
    <w:rsid w:val="00E7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F682A"/>
  <w15:docId w15:val="{99F1C3F1-50C4-499F-AD06-6546B665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color w:val="000000"/>
      <w:kern w:val="2"/>
      <w:sz w:val="21"/>
      <w:szCs w:val="21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igh-light-bg4">
    <w:name w:val="high-light-bg4"/>
    <w:basedOn w:val="a0"/>
    <w:qFormat/>
  </w:style>
  <w:style w:type="character" w:customStyle="1" w:styleId="Char">
    <w:name w:val="批注框文本 Char"/>
    <w:qFormat/>
    <w:rPr>
      <w:sz w:val="18"/>
      <w:szCs w:val="18"/>
    </w:rPr>
  </w:style>
  <w:style w:type="character" w:customStyle="1" w:styleId="Char0">
    <w:name w:val="页眉 Char"/>
    <w:qFormat/>
    <w:rPr>
      <w:sz w:val="18"/>
      <w:szCs w:val="18"/>
    </w:rPr>
  </w:style>
  <w:style w:type="character" w:customStyle="1" w:styleId="Char1">
    <w:name w:val="页脚 Char"/>
    <w:qFormat/>
    <w:rPr>
      <w:sz w:val="18"/>
      <w:szCs w:val="18"/>
    </w:rPr>
  </w:style>
  <w:style w:type="character" w:styleId="a3">
    <w:name w:val="Hyperlink"/>
    <w:rPr>
      <w:strike w:val="0"/>
      <w:dstrike w:val="0"/>
      <w:color w:val="002B82"/>
      <w:u w:val="none"/>
    </w:rPr>
  </w:style>
  <w:style w:type="character" w:customStyle="1" w:styleId="style11">
    <w:name w:val="style11"/>
    <w:qFormat/>
    <w:rPr>
      <w:b/>
      <w:bCs/>
      <w:color w:val="FF0000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next w:val="a"/>
    <w:qFormat/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Balloon Text"/>
    <w:basedOn w:val="a"/>
    <w:qFormat/>
    <w:rPr>
      <w:kern w:val="0"/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">
    <w:name w:val="标题1"/>
    <w:basedOn w:val="a"/>
    <w:rPr>
      <w:rFonts w:eastAsia="黑体"/>
      <w:sz w:val="44"/>
      <w:szCs w:val="44"/>
    </w:rPr>
  </w:style>
  <w:style w:type="paragraph" w:customStyle="1" w:styleId="CDE">
    <w:name w:val="CDE 一级标题"/>
    <w:basedOn w:val="a"/>
    <w:rPr>
      <w:rFonts w:eastAsia="黑体"/>
      <w:sz w:val="28"/>
      <w:szCs w:val="28"/>
    </w:rPr>
  </w:style>
  <w:style w:type="paragraph" w:customStyle="1" w:styleId="CDE0">
    <w:name w:val="CDE 二级标题"/>
    <w:basedOn w:val="a"/>
    <w:rPr>
      <w:rFonts w:eastAsia="黑体"/>
    </w:r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10441</Words>
  <Characters>17125</Characters>
  <Application>Microsoft Office Word</Application>
  <DocSecurity>0</DocSecurity>
  <Lines>951</Lines>
  <Paragraphs>475</Paragraphs>
  <ScaleCrop>false</ScaleCrop>
  <Company/>
  <LinksUpToDate>false</LinksUpToDate>
  <CharactersWithSpaces>27091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面向重复出示与选择性披露的 LaZer 匿名凭证实现优化</dc:title>
  <dc:subject>第二篇小论文 Word 模板迁移</dc:subject>
  <dc:creator>陈帅</dc:creator>
  <cp:keywords>LaZer; 匿名凭证; 选择性披露; 实现优化</cp:keywords>
  <dc:description/>
  <cp:lastModifiedBy>chenshuai chen</cp:lastModifiedBy>
  <cp:revision>2</cp:revision>
  <cp:lastPrinted>2016-10-26T15:41:00Z</cp:lastPrinted>
  <dcterms:created xsi:type="dcterms:W3CDTF">2026-10-22T12:05:00Z</dcterms:created>
  <dcterms:modified xsi:type="dcterms:W3CDTF">2026-10-22T12:05:00Z</dcterms:modified>
  <dc:language>en-US</dc:language>
</cp:coreProperties>
</file>