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4B47A8F3"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 xml:space="preserve">Predictive Model Plan – </w:t>
      </w:r>
      <w:r w:rsidR="000A353F">
        <w:rPr>
          <w:rFonts w:ascii="Arial" w:hAnsi="Arial" w:cs="Arial"/>
          <w:b/>
          <w:bCs/>
          <w:i w:val="0"/>
          <w:iCs w:val="0"/>
          <w:sz w:val="32"/>
          <w:szCs w:val="32"/>
        </w:rPr>
        <w:t>Geldium</w:t>
      </w:r>
    </w:p>
    <w:p w14:paraId="144E445C" w14:textId="2AB64622"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E213B3" w14:textId="77777777" w:rsidR="0008465E" w:rsidRPr="0008465E" w:rsidRDefault="0008465E" w:rsidP="0008465E">
      <w:pPr>
        <w:pStyle w:val="ListParagraph"/>
        <w:numPr>
          <w:ilvl w:val="0"/>
          <w:numId w:val="11"/>
        </w:numPr>
        <w:rPr>
          <w:i w:val="0"/>
          <w:iCs w:val="0"/>
          <w:sz w:val="22"/>
          <w:szCs w:val="22"/>
        </w:rPr>
      </w:pPr>
      <w:r w:rsidRPr="0008465E">
        <w:rPr>
          <w:i w:val="0"/>
          <w:iCs w:val="0"/>
          <w:sz w:val="22"/>
          <w:szCs w:val="22"/>
        </w:rPr>
        <w:t xml:space="preserve">Based on insights from the exploratory data analysis (EDA), a GenAI-assisted predictive modeling workflow was developed to forecast the likelihood of customer delinquency. </w:t>
      </w:r>
    </w:p>
    <w:p w14:paraId="6FA2BE1D" w14:textId="4A633B2D" w:rsidR="0008465E" w:rsidRPr="0008465E" w:rsidRDefault="0008465E" w:rsidP="0008465E">
      <w:pPr>
        <w:pStyle w:val="ListParagraph"/>
        <w:numPr>
          <w:ilvl w:val="0"/>
          <w:numId w:val="11"/>
        </w:numPr>
        <w:rPr>
          <w:rFonts w:ascii="Arial" w:hAnsi="Arial" w:cs="Arial"/>
          <w:i w:val="0"/>
          <w:iCs w:val="0"/>
          <w:color w:val="000000" w:themeColor="text1"/>
          <w:sz w:val="22"/>
          <w:szCs w:val="22"/>
        </w:rPr>
      </w:pPr>
      <w:r w:rsidRPr="0008465E">
        <w:rPr>
          <w:i w:val="0"/>
          <w:iCs w:val="0"/>
          <w:sz w:val="22"/>
          <w:szCs w:val="22"/>
        </w:rPr>
        <w:t>The selected approach utilizes a Gradient-Boosted Decision Tree (GBDT) model (implemented via LightGBM or XGBoost) as the primary predictive engine, complemented by a Logistic Regression model serving as a transparent baseline</w:t>
      </w:r>
    </w:p>
    <w:p w14:paraId="22E69DE9" w14:textId="77777777" w:rsidR="0008465E" w:rsidRPr="00FD05ED" w:rsidRDefault="0008465E" w:rsidP="0008465E">
      <w:pPr>
        <w:pStyle w:val="NormalWeb"/>
        <w:rPr>
          <w:rFonts w:ascii="Cascadia Mono SemiLight" w:hAnsi="Cascadia Mono SemiLight" w:cs="Cascadia Mono SemiLight"/>
          <w:b/>
          <w:bCs/>
        </w:rPr>
      </w:pPr>
      <w:r>
        <w:rPr>
          <w:rFonts w:ascii="Arial" w:hAnsi="Arial" w:cs="Arial"/>
          <w:i/>
          <w:iCs/>
          <w:color w:val="000000" w:themeColor="text1"/>
        </w:rPr>
        <w:t xml:space="preserve"> </w:t>
      </w:r>
      <w:r w:rsidRPr="00FD05ED">
        <w:rPr>
          <w:rStyle w:val="Strong"/>
          <w:rFonts w:ascii="Cascadia Mono SemiLight" w:hAnsi="Cascadia Mono SemiLight" w:cs="Cascadia Mono SemiLight"/>
          <w:b w:val="0"/>
          <w:bCs w:val="0"/>
        </w:rPr>
        <w:t>Pseudo-code:</w:t>
      </w:r>
    </w:p>
    <w:p w14:paraId="0444C16D" w14:textId="77777777" w:rsidR="0008465E" w:rsidRPr="00FD05ED" w:rsidRDefault="0008465E" w:rsidP="0008465E">
      <w:pPr>
        <w:pStyle w:val="NormalWeb"/>
        <w:numPr>
          <w:ilvl w:val="0"/>
          <w:numId w:val="10"/>
        </w:numPr>
        <w:rPr>
          <w:rFonts w:ascii="Cascadia Mono SemiLight" w:hAnsi="Cascadia Mono SemiLight" w:cs="Cascadia Mono SemiLight"/>
          <w:sz w:val="22"/>
          <w:szCs w:val="22"/>
        </w:rPr>
      </w:pPr>
      <w:r w:rsidRPr="00FD05ED">
        <w:rPr>
          <w:rFonts w:ascii="Cascadia Mono SemiLight" w:hAnsi="Cascadia Mono SemiLight" w:cs="Cascadia Mono SemiLight"/>
          <w:sz w:val="22"/>
          <w:szCs w:val="22"/>
        </w:rPr>
        <w:t>Load dataset</w:t>
      </w:r>
    </w:p>
    <w:p w14:paraId="5CBD148A" w14:textId="77777777" w:rsidR="0008465E" w:rsidRPr="00FD05ED" w:rsidRDefault="0008465E" w:rsidP="0008465E">
      <w:pPr>
        <w:pStyle w:val="NormalWeb"/>
        <w:numPr>
          <w:ilvl w:val="0"/>
          <w:numId w:val="10"/>
        </w:numPr>
        <w:rPr>
          <w:rFonts w:ascii="Cascadia Mono SemiLight" w:hAnsi="Cascadia Mono SemiLight" w:cs="Cascadia Mono SemiLight"/>
          <w:sz w:val="22"/>
          <w:szCs w:val="22"/>
        </w:rPr>
      </w:pPr>
      <w:r w:rsidRPr="00FD05ED">
        <w:rPr>
          <w:rFonts w:ascii="Cascadia Mono SemiLight" w:hAnsi="Cascadia Mono SemiLight" w:cs="Cascadia Mono SemiLight"/>
          <w:sz w:val="22"/>
          <w:szCs w:val="22"/>
        </w:rPr>
        <w:t>Select features: ['Credit Utilization', 'Missed Payments', 'Income', 'Debt_to_Income_Ratio', 'Account Tenure']</w:t>
      </w:r>
    </w:p>
    <w:p w14:paraId="5CC9D6D6" w14:textId="77777777" w:rsidR="0008465E" w:rsidRPr="00FD05ED" w:rsidRDefault="0008465E" w:rsidP="0008465E">
      <w:pPr>
        <w:pStyle w:val="NormalWeb"/>
        <w:numPr>
          <w:ilvl w:val="0"/>
          <w:numId w:val="10"/>
        </w:numPr>
        <w:rPr>
          <w:rFonts w:ascii="Cascadia Mono SemiLight" w:hAnsi="Cascadia Mono SemiLight" w:cs="Cascadia Mono SemiLight"/>
          <w:sz w:val="22"/>
          <w:szCs w:val="22"/>
        </w:rPr>
      </w:pPr>
      <w:r w:rsidRPr="00FD05ED">
        <w:rPr>
          <w:rFonts w:ascii="Cascadia Mono SemiLight" w:hAnsi="Cascadia Mono SemiLight" w:cs="Cascadia Mono SemiLight"/>
          <w:sz w:val="22"/>
          <w:szCs w:val="22"/>
        </w:rPr>
        <w:t>Define target variable: 'Delinquent Account'</w:t>
      </w:r>
    </w:p>
    <w:p w14:paraId="4643AE60" w14:textId="77777777" w:rsidR="0008465E" w:rsidRPr="00FD05ED" w:rsidRDefault="0008465E" w:rsidP="0008465E">
      <w:pPr>
        <w:pStyle w:val="NormalWeb"/>
        <w:numPr>
          <w:ilvl w:val="0"/>
          <w:numId w:val="10"/>
        </w:numPr>
        <w:rPr>
          <w:rFonts w:ascii="Cascadia Mono SemiLight" w:hAnsi="Cascadia Mono SemiLight" w:cs="Cascadia Mono SemiLight"/>
          <w:sz w:val="22"/>
          <w:szCs w:val="22"/>
        </w:rPr>
      </w:pPr>
      <w:r w:rsidRPr="00FD05ED">
        <w:rPr>
          <w:rFonts w:ascii="Cascadia Mono SemiLight" w:hAnsi="Cascadia Mono SemiLight" w:cs="Cascadia Mono SemiLight"/>
          <w:sz w:val="22"/>
          <w:szCs w:val="22"/>
        </w:rPr>
        <w:t>Split data into training and testing sets</w:t>
      </w:r>
    </w:p>
    <w:p w14:paraId="2D858286" w14:textId="77777777" w:rsidR="0008465E" w:rsidRPr="00FD05ED" w:rsidRDefault="0008465E" w:rsidP="0008465E">
      <w:pPr>
        <w:pStyle w:val="NormalWeb"/>
        <w:numPr>
          <w:ilvl w:val="0"/>
          <w:numId w:val="10"/>
        </w:numPr>
        <w:rPr>
          <w:rFonts w:ascii="Cascadia Mono SemiLight" w:hAnsi="Cascadia Mono SemiLight" w:cs="Cascadia Mono SemiLight"/>
          <w:sz w:val="22"/>
          <w:szCs w:val="22"/>
        </w:rPr>
      </w:pPr>
      <w:r w:rsidRPr="00FD05ED">
        <w:rPr>
          <w:rFonts w:ascii="Cascadia Mono SemiLight" w:hAnsi="Cascadia Mono SemiLight" w:cs="Cascadia Mono SemiLight"/>
          <w:sz w:val="22"/>
          <w:szCs w:val="22"/>
        </w:rPr>
        <w:t>Fit Gradient-Boosted Decision Tree model (with Logistic Regression as baseline)</w:t>
      </w:r>
    </w:p>
    <w:p w14:paraId="75ED2CDD" w14:textId="77777777" w:rsidR="0008465E" w:rsidRPr="00FD05ED" w:rsidRDefault="0008465E" w:rsidP="0008465E">
      <w:pPr>
        <w:pStyle w:val="NormalWeb"/>
        <w:numPr>
          <w:ilvl w:val="0"/>
          <w:numId w:val="10"/>
        </w:numPr>
        <w:rPr>
          <w:rFonts w:ascii="Cascadia Mono SemiLight" w:hAnsi="Cascadia Mono SemiLight" w:cs="Cascadia Mono SemiLight"/>
          <w:sz w:val="22"/>
          <w:szCs w:val="22"/>
        </w:rPr>
      </w:pPr>
      <w:r w:rsidRPr="00FD05ED">
        <w:rPr>
          <w:rFonts w:ascii="Cascadia Mono SemiLight" w:hAnsi="Cascadia Mono SemiLight" w:cs="Cascadia Mono SemiLight"/>
          <w:sz w:val="22"/>
          <w:szCs w:val="22"/>
        </w:rPr>
        <w:t>Predict and evaluate using classification metrics</w:t>
      </w:r>
    </w:p>
    <w:p w14:paraId="69222A3A" w14:textId="77777777" w:rsidR="0008465E" w:rsidRDefault="0008465E" w:rsidP="0008465E">
      <w:pPr>
        <w:pStyle w:val="ListParagraph"/>
        <w:rPr>
          <w:b/>
          <w:bCs/>
          <w:i w:val="0"/>
          <w:iCs w:val="0"/>
          <w:sz w:val="24"/>
          <w:szCs w:val="24"/>
        </w:rPr>
      </w:pPr>
      <w:r w:rsidRPr="0008465E">
        <w:rPr>
          <w:b/>
          <w:bCs/>
          <w:i w:val="0"/>
          <w:iCs w:val="0"/>
          <w:sz w:val="24"/>
          <w:szCs w:val="24"/>
        </w:rPr>
        <w:t>The workflow involves several stages:</w:t>
      </w:r>
    </w:p>
    <w:p w14:paraId="041116CF" w14:textId="1EA4C3CA" w:rsidR="0008465E" w:rsidRDefault="0008465E" w:rsidP="0008465E">
      <w:pPr>
        <w:pStyle w:val="ListParagraph"/>
        <w:numPr>
          <w:ilvl w:val="0"/>
          <w:numId w:val="15"/>
        </w:numPr>
        <w:rPr>
          <w:i w:val="0"/>
          <w:iCs w:val="0"/>
          <w:sz w:val="22"/>
          <w:szCs w:val="22"/>
        </w:rPr>
      </w:pPr>
      <w:r w:rsidRPr="0008465E">
        <w:rPr>
          <w:i w:val="0"/>
          <w:iCs w:val="0"/>
          <w:sz w:val="22"/>
          <w:szCs w:val="22"/>
        </w:rPr>
        <w:t xml:space="preserve">Data preprocessing (handling missing values via median/mode imputation), feature transformation (capping Credit Utilization at 1.0 and converting payment history columns into a 'recent misses' feature), and feature engineering (including Income_to_Loan_Ratio, Debt_to_Income_Ratio, Utilization Bucket, and Missed_3plus indicators). </w:t>
      </w:r>
    </w:p>
    <w:p w14:paraId="5EBADE97" w14:textId="564DDC81" w:rsidR="0008465E" w:rsidRDefault="0008465E" w:rsidP="0008465E">
      <w:pPr>
        <w:pStyle w:val="ListParagraph"/>
        <w:numPr>
          <w:ilvl w:val="0"/>
          <w:numId w:val="15"/>
        </w:numPr>
        <w:rPr>
          <w:i w:val="0"/>
          <w:iCs w:val="0"/>
          <w:sz w:val="22"/>
          <w:szCs w:val="22"/>
        </w:rPr>
      </w:pPr>
      <w:r w:rsidRPr="0008465E">
        <w:rPr>
          <w:i w:val="0"/>
          <w:iCs w:val="0"/>
          <w:sz w:val="22"/>
          <w:szCs w:val="22"/>
        </w:rPr>
        <w:t>The model training process uses stratified 5-fold cross-validation, probability calibration, and SHAP explainability to provide interpretable insights into the top risk factors.</w:t>
      </w:r>
    </w:p>
    <w:p w14:paraId="01F8C8F3" w14:textId="77777777" w:rsidR="0008465E" w:rsidRPr="0008465E" w:rsidRDefault="0008465E" w:rsidP="0008465E">
      <w:pPr>
        <w:pStyle w:val="ListParagraph"/>
        <w:rPr>
          <w:i w:val="0"/>
          <w:iCs w:val="0"/>
          <w:sz w:val="22"/>
          <w:szCs w:val="22"/>
        </w:rPr>
      </w:pPr>
    </w:p>
    <w:p w14:paraId="41FA39CC" w14:textId="77777777" w:rsidR="0008465E" w:rsidRDefault="0008465E" w:rsidP="0008465E">
      <w:pPr>
        <w:pStyle w:val="ListParagraph"/>
        <w:rPr>
          <w:b/>
          <w:bCs/>
          <w:i w:val="0"/>
          <w:iCs w:val="0"/>
          <w:sz w:val="22"/>
          <w:szCs w:val="22"/>
          <w:u w:val="single"/>
        </w:rPr>
      </w:pPr>
      <w:r w:rsidRPr="0008465E">
        <w:rPr>
          <w:b/>
          <w:bCs/>
          <w:i w:val="0"/>
          <w:iCs w:val="0"/>
          <w:sz w:val="22"/>
          <w:szCs w:val="22"/>
          <w:u w:val="single"/>
        </w:rPr>
        <w:t>Top 5 Input Features:</w:t>
      </w:r>
    </w:p>
    <w:p w14:paraId="35BC9541" w14:textId="77777777" w:rsidR="0008465E" w:rsidRPr="0008465E" w:rsidRDefault="0008465E" w:rsidP="0008465E">
      <w:pPr>
        <w:pStyle w:val="ListParagraph"/>
        <w:rPr>
          <w:b/>
          <w:bCs/>
          <w:i w:val="0"/>
          <w:iCs w:val="0"/>
          <w:sz w:val="22"/>
          <w:szCs w:val="22"/>
          <w:u w:val="single"/>
        </w:rPr>
      </w:pPr>
    </w:p>
    <w:p w14:paraId="37881303" w14:textId="77777777" w:rsidR="0008465E" w:rsidRPr="0008465E" w:rsidRDefault="0008465E" w:rsidP="0008465E">
      <w:pPr>
        <w:pStyle w:val="ListParagraph"/>
        <w:rPr>
          <w:i w:val="0"/>
          <w:iCs w:val="0"/>
          <w:sz w:val="22"/>
          <w:szCs w:val="22"/>
        </w:rPr>
      </w:pPr>
      <w:r w:rsidRPr="0008465E">
        <w:rPr>
          <w:i w:val="0"/>
          <w:iCs w:val="0"/>
          <w:sz w:val="22"/>
          <w:szCs w:val="22"/>
        </w:rPr>
        <w:t>1. Credit Utilization – reflects the extent of outstanding debt relative to credit limits.</w:t>
      </w:r>
    </w:p>
    <w:p w14:paraId="7A4E3400" w14:textId="77777777" w:rsidR="0008465E" w:rsidRPr="0008465E" w:rsidRDefault="0008465E" w:rsidP="0008465E">
      <w:pPr>
        <w:pStyle w:val="ListParagraph"/>
        <w:rPr>
          <w:i w:val="0"/>
          <w:iCs w:val="0"/>
          <w:sz w:val="22"/>
          <w:szCs w:val="22"/>
        </w:rPr>
      </w:pPr>
      <w:r w:rsidRPr="0008465E">
        <w:rPr>
          <w:i w:val="0"/>
          <w:iCs w:val="0"/>
          <w:sz w:val="22"/>
          <w:szCs w:val="22"/>
        </w:rPr>
        <w:t>2. Missed Payments / Recent Misses – strongest behavioral signal for delinquency.</w:t>
      </w:r>
    </w:p>
    <w:p w14:paraId="252DE301" w14:textId="77777777" w:rsidR="0008465E" w:rsidRPr="0008465E" w:rsidRDefault="0008465E" w:rsidP="0008465E">
      <w:pPr>
        <w:pStyle w:val="ListParagraph"/>
        <w:rPr>
          <w:i w:val="0"/>
          <w:iCs w:val="0"/>
          <w:sz w:val="22"/>
          <w:szCs w:val="22"/>
        </w:rPr>
      </w:pPr>
      <w:r w:rsidRPr="0008465E">
        <w:rPr>
          <w:i w:val="0"/>
          <w:iCs w:val="0"/>
          <w:sz w:val="22"/>
          <w:szCs w:val="22"/>
        </w:rPr>
        <w:t>3. Debt-to-Income Ratio – measures repayment burden relative to earnings.</w:t>
      </w:r>
    </w:p>
    <w:p w14:paraId="7757E209" w14:textId="77777777" w:rsidR="0008465E" w:rsidRPr="0008465E" w:rsidRDefault="0008465E" w:rsidP="0008465E">
      <w:pPr>
        <w:pStyle w:val="ListParagraph"/>
        <w:rPr>
          <w:i w:val="0"/>
          <w:iCs w:val="0"/>
          <w:sz w:val="22"/>
          <w:szCs w:val="22"/>
        </w:rPr>
      </w:pPr>
      <w:r w:rsidRPr="0008465E">
        <w:rPr>
          <w:i w:val="0"/>
          <w:iCs w:val="0"/>
          <w:sz w:val="22"/>
          <w:szCs w:val="22"/>
        </w:rPr>
        <w:t>4. Income-to-Loan Ratio – assesses capacity to manage loan obligations.</w:t>
      </w:r>
    </w:p>
    <w:p w14:paraId="6C4BE02A" w14:textId="73BB667E" w:rsidR="004B5529" w:rsidRPr="0008465E" w:rsidRDefault="0008465E" w:rsidP="0008465E">
      <w:pPr>
        <w:pStyle w:val="ListParagraph"/>
        <w:rPr>
          <w:i w:val="0"/>
          <w:iCs w:val="0"/>
        </w:rPr>
      </w:pPr>
      <w:r w:rsidRPr="0008465E">
        <w:rPr>
          <w:i w:val="0"/>
          <w:iCs w:val="0"/>
          <w:sz w:val="22"/>
          <w:szCs w:val="22"/>
        </w:rPr>
        <w:t>5. Credit Score – encapsulates overall creditworthiness and repayment history</w:t>
      </w:r>
      <w:r w:rsidRPr="0008465E">
        <w:rPr>
          <w:rFonts w:ascii="Arial" w:hAnsi="Arial" w:cs="Arial"/>
          <w:i w:val="0"/>
          <w:iCs w:val="0"/>
          <w:color w:val="000000" w:themeColor="text1"/>
          <w:sz w:val="22"/>
          <w:szCs w:val="22"/>
        </w:rPr>
        <w:br/>
      </w:r>
      <w:r w:rsidR="00E31114" w:rsidRPr="0008465E">
        <w:rPr>
          <w:rFonts w:ascii="Arial" w:hAnsi="Arial" w:cs="Arial"/>
          <w:i w:val="0"/>
          <w:iCs w:val="0"/>
          <w:color w:val="000000" w:themeColor="text1"/>
        </w:rPr>
        <w:br/>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lastRenderedPageBreak/>
        <w:t>2. Justification for Model Choice</w:t>
      </w:r>
    </w:p>
    <w:p w14:paraId="41EBC874" w14:textId="77777777" w:rsidR="0008465E" w:rsidRPr="0008465E" w:rsidRDefault="0008465E" w:rsidP="0008465E">
      <w:pPr>
        <w:pStyle w:val="ListParagraph"/>
        <w:numPr>
          <w:ilvl w:val="0"/>
          <w:numId w:val="12"/>
        </w:numPr>
        <w:rPr>
          <w:i w:val="0"/>
          <w:iCs w:val="0"/>
          <w:sz w:val="22"/>
          <w:szCs w:val="22"/>
        </w:rPr>
      </w:pPr>
      <w:r w:rsidRPr="0008465E">
        <w:rPr>
          <w:i w:val="0"/>
          <w:iCs w:val="0"/>
          <w:sz w:val="22"/>
          <w:szCs w:val="22"/>
        </w:rPr>
        <w:t xml:space="preserve">The Gradient-Boosted Decision Tree (GBDT) model was chosen due to its superior ability to handle complex, nonlinear relationships in financial datasets. </w:t>
      </w:r>
    </w:p>
    <w:p w14:paraId="7B930A10" w14:textId="77777777" w:rsidR="0008465E" w:rsidRPr="0008465E" w:rsidRDefault="0008465E" w:rsidP="0008465E">
      <w:pPr>
        <w:pStyle w:val="ListParagraph"/>
        <w:numPr>
          <w:ilvl w:val="0"/>
          <w:numId w:val="12"/>
        </w:numPr>
        <w:rPr>
          <w:i w:val="0"/>
          <w:iCs w:val="0"/>
          <w:sz w:val="22"/>
          <w:szCs w:val="22"/>
        </w:rPr>
      </w:pPr>
      <w:r w:rsidRPr="0008465E">
        <w:rPr>
          <w:i w:val="0"/>
          <w:iCs w:val="0"/>
          <w:sz w:val="22"/>
          <w:szCs w:val="22"/>
        </w:rPr>
        <w:t xml:space="preserve">Geldium’s data includes both numerical and categorical variables, where risk patterns often emerge through variable interactions (e.g., high utilization combined with low income or short credit tenure). </w:t>
      </w:r>
    </w:p>
    <w:p w14:paraId="44000ECE" w14:textId="77777777" w:rsidR="0008465E" w:rsidRPr="0008465E" w:rsidRDefault="0008465E" w:rsidP="0008465E">
      <w:pPr>
        <w:pStyle w:val="ListParagraph"/>
        <w:numPr>
          <w:ilvl w:val="0"/>
          <w:numId w:val="12"/>
        </w:numPr>
        <w:rPr>
          <w:i w:val="0"/>
          <w:iCs w:val="0"/>
          <w:sz w:val="22"/>
          <w:szCs w:val="22"/>
        </w:rPr>
      </w:pPr>
      <w:r w:rsidRPr="0008465E">
        <w:rPr>
          <w:i w:val="0"/>
          <w:iCs w:val="0"/>
          <w:sz w:val="22"/>
          <w:szCs w:val="22"/>
        </w:rPr>
        <w:t xml:space="preserve">GBDT models excel in capturing such dependencies without extensive manual feature transformations, while maintaining high accuracy and stability. </w:t>
      </w:r>
    </w:p>
    <w:p w14:paraId="54F39476" w14:textId="77777777" w:rsidR="0008465E" w:rsidRPr="0008465E" w:rsidRDefault="0008465E" w:rsidP="0008465E">
      <w:pPr>
        <w:pStyle w:val="ListParagraph"/>
        <w:numPr>
          <w:ilvl w:val="0"/>
          <w:numId w:val="12"/>
        </w:numPr>
        <w:rPr>
          <w:i w:val="0"/>
          <w:iCs w:val="0"/>
          <w:sz w:val="22"/>
          <w:szCs w:val="22"/>
        </w:rPr>
      </w:pPr>
      <w:r w:rsidRPr="0008465E">
        <w:rPr>
          <w:i w:val="0"/>
          <w:iCs w:val="0"/>
          <w:sz w:val="22"/>
          <w:szCs w:val="22"/>
        </w:rPr>
        <w:t xml:space="preserve">Additionally, GBDTs integrate seamlessly with SHAP-based explanations, allowing the Collections team to understand and justify predictions in a transparent, regulator-friendly manner. </w:t>
      </w:r>
    </w:p>
    <w:p w14:paraId="4169BF63" w14:textId="5144BC2B" w:rsidR="004B5529" w:rsidRPr="0008465E" w:rsidRDefault="0008465E" w:rsidP="0008465E">
      <w:pPr>
        <w:pStyle w:val="ListParagraph"/>
        <w:numPr>
          <w:ilvl w:val="0"/>
          <w:numId w:val="12"/>
        </w:numPr>
      </w:pPr>
      <w:r w:rsidRPr="0008465E">
        <w:rPr>
          <w:i w:val="0"/>
          <w:iCs w:val="0"/>
          <w:sz w:val="22"/>
          <w:szCs w:val="22"/>
        </w:rPr>
        <w:t>Logistic Regression is retained as a baseline for benchmarking and probability calibration, ensuring interpretability and compliance</w:t>
      </w:r>
      <w:r>
        <w:t>.</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41314B85" w14:textId="77777777" w:rsidR="0008465E" w:rsidRPr="0008465E" w:rsidRDefault="0008465E" w:rsidP="0008465E">
      <w:pPr>
        <w:pStyle w:val="ListParagraph"/>
        <w:numPr>
          <w:ilvl w:val="0"/>
          <w:numId w:val="13"/>
        </w:numPr>
        <w:rPr>
          <w:i w:val="0"/>
          <w:iCs w:val="0"/>
          <w:sz w:val="22"/>
          <w:szCs w:val="22"/>
        </w:rPr>
      </w:pPr>
      <w:r w:rsidRPr="0008465E">
        <w:rPr>
          <w:i w:val="0"/>
          <w:iCs w:val="0"/>
          <w:sz w:val="22"/>
          <w:szCs w:val="22"/>
        </w:rPr>
        <w:t xml:space="preserve">Model evaluation will be conducted using stratified 5-fold cross-validation to preserve class balance between delinquent and non-delinquent accounts. </w:t>
      </w:r>
    </w:p>
    <w:p w14:paraId="5C1D6272" w14:textId="3B03D8A9" w:rsidR="0008465E" w:rsidRPr="0008465E" w:rsidRDefault="0008465E" w:rsidP="0008465E">
      <w:pPr>
        <w:pStyle w:val="ListParagraph"/>
        <w:numPr>
          <w:ilvl w:val="0"/>
          <w:numId w:val="13"/>
        </w:numPr>
        <w:rPr>
          <w:i w:val="0"/>
          <w:iCs w:val="0"/>
          <w:sz w:val="22"/>
          <w:szCs w:val="22"/>
        </w:rPr>
      </w:pPr>
      <w:r w:rsidRPr="0008465E">
        <w:rPr>
          <w:i w:val="0"/>
          <w:iCs w:val="0"/>
          <w:sz w:val="22"/>
          <w:szCs w:val="22"/>
        </w:rPr>
        <w:t xml:space="preserve">Key performance metrics include ROC-AUC (for discrimination power), PR-AUC (for handling class imbalance), Precision@K, Recall@K (to evaluate top-risk identification), F1 Score, and calibration metrics such as Brier Score and calibration curves. </w:t>
      </w:r>
    </w:p>
    <w:p w14:paraId="1DEC6D75" w14:textId="1B2B02F6" w:rsidR="0008465E" w:rsidRPr="0008465E" w:rsidRDefault="0008465E" w:rsidP="0008465E">
      <w:pPr>
        <w:pStyle w:val="ListParagraph"/>
        <w:numPr>
          <w:ilvl w:val="0"/>
          <w:numId w:val="13"/>
        </w:numPr>
        <w:rPr>
          <w:i w:val="0"/>
          <w:iCs w:val="0"/>
          <w:sz w:val="22"/>
          <w:szCs w:val="22"/>
        </w:rPr>
      </w:pPr>
      <w:r w:rsidRPr="0008465E">
        <w:rPr>
          <w:i w:val="0"/>
          <w:iCs w:val="0"/>
          <w:sz w:val="22"/>
          <w:szCs w:val="22"/>
        </w:rPr>
        <w:t>These metrics collectively assess both accuracy and reliability of the predicted probabilities.</w:t>
      </w:r>
    </w:p>
    <w:p w14:paraId="08E21408" w14:textId="77777777" w:rsidR="0008465E" w:rsidRPr="0008465E" w:rsidRDefault="0008465E" w:rsidP="0008465E">
      <w:pPr>
        <w:pStyle w:val="ListParagraph"/>
        <w:numPr>
          <w:ilvl w:val="0"/>
          <w:numId w:val="13"/>
        </w:numPr>
        <w:rPr>
          <w:i w:val="0"/>
          <w:iCs w:val="0"/>
          <w:sz w:val="22"/>
          <w:szCs w:val="22"/>
        </w:rPr>
      </w:pPr>
      <w:r w:rsidRPr="0008465E">
        <w:rPr>
          <w:i w:val="0"/>
          <w:iCs w:val="0"/>
          <w:sz w:val="22"/>
          <w:szCs w:val="22"/>
        </w:rPr>
        <w:t xml:space="preserve">Fairness assessments will compare model performance across demographic and regional groups using fairness metrics such as disparate impact ratio, equalized odds (evaluating false positive and false negative rate differences), and calibration parity. </w:t>
      </w:r>
    </w:p>
    <w:p w14:paraId="4C445246" w14:textId="77777777" w:rsidR="0008465E" w:rsidRPr="0008465E" w:rsidRDefault="0008465E" w:rsidP="0008465E">
      <w:pPr>
        <w:pStyle w:val="ListParagraph"/>
        <w:numPr>
          <w:ilvl w:val="0"/>
          <w:numId w:val="13"/>
        </w:numPr>
        <w:rPr>
          <w:i w:val="0"/>
          <w:iCs w:val="0"/>
          <w:sz w:val="22"/>
          <w:szCs w:val="22"/>
        </w:rPr>
      </w:pPr>
      <w:r w:rsidRPr="0008465E">
        <w:rPr>
          <w:i w:val="0"/>
          <w:iCs w:val="0"/>
          <w:sz w:val="22"/>
          <w:szCs w:val="22"/>
        </w:rPr>
        <w:t xml:space="preserve">In case of bias detection, mitigation strategies such as reweighing samples, applying fairness constraints, or post-processing threshold adjustments will be employed. </w:t>
      </w:r>
    </w:p>
    <w:p w14:paraId="122FDDF9" w14:textId="642721B0" w:rsidR="0008465E" w:rsidRPr="0008465E" w:rsidRDefault="0008465E" w:rsidP="0008465E">
      <w:pPr>
        <w:pStyle w:val="ListParagraph"/>
        <w:numPr>
          <w:ilvl w:val="0"/>
          <w:numId w:val="13"/>
        </w:numPr>
        <w:rPr>
          <w:i w:val="0"/>
          <w:iCs w:val="0"/>
          <w:sz w:val="22"/>
          <w:szCs w:val="22"/>
        </w:rPr>
      </w:pPr>
      <w:r w:rsidRPr="0008465E">
        <w:rPr>
          <w:i w:val="0"/>
          <w:iCs w:val="0"/>
          <w:sz w:val="22"/>
          <w:szCs w:val="22"/>
        </w:rPr>
        <w:t>Continuous monitoring will be implemented to detect model drift (both feature and prediction drift) and to trigger retraining when significant performance or fairness deviations occur.</w:t>
      </w:r>
    </w:p>
    <w:p w14:paraId="5AE85407" w14:textId="77777777" w:rsidR="0008465E" w:rsidRDefault="0008465E">
      <w:pPr>
        <w:rPr>
          <w:rFonts w:ascii="Arial" w:hAnsi="Arial" w:cs="Arial"/>
          <w:i w:val="0"/>
          <w:iCs w:val="0"/>
          <w:color w:val="000000" w:themeColor="text1"/>
        </w:rPr>
      </w:pPr>
    </w:p>
    <w:p w14:paraId="2D2F0295" w14:textId="4CD7ECB6" w:rsidR="004B5529" w:rsidRPr="00E31114" w:rsidRDefault="004B5529">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381E" w14:textId="77777777" w:rsidR="00DE2213" w:rsidRDefault="00DE2213" w:rsidP="00E31114">
      <w:pPr>
        <w:spacing w:after="0" w:line="240" w:lineRule="auto"/>
      </w:pPr>
      <w:r>
        <w:separator/>
      </w:r>
    </w:p>
  </w:endnote>
  <w:endnote w:type="continuationSeparator" w:id="0">
    <w:p w14:paraId="66293044" w14:textId="77777777" w:rsidR="00DE2213" w:rsidRDefault="00DE2213"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scadia Mono SemiLight">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F5367" w14:textId="77777777" w:rsidR="00DE2213" w:rsidRDefault="00DE2213" w:rsidP="00E31114">
      <w:pPr>
        <w:spacing w:after="0" w:line="240" w:lineRule="auto"/>
      </w:pPr>
      <w:r>
        <w:separator/>
      </w:r>
    </w:p>
  </w:footnote>
  <w:footnote w:type="continuationSeparator" w:id="0">
    <w:p w14:paraId="487CD5AB" w14:textId="77777777" w:rsidR="00DE2213" w:rsidRDefault="00DE2213"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C50B8"/>
    <w:multiLevelType w:val="hybridMultilevel"/>
    <w:tmpl w:val="DAAEDA62"/>
    <w:lvl w:ilvl="0" w:tplc="0AACE30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010E37"/>
    <w:multiLevelType w:val="multilevel"/>
    <w:tmpl w:val="2D00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E605D"/>
    <w:multiLevelType w:val="hybridMultilevel"/>
    <w:tmpl w:val="2092CF5E"/>
    <w:lvl w:ilvl="0" w:tplc="0AACE30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EF5B48"/>
    <w:multiLevelType w:val="hybridMultilevel"/>
    <w:tmpl w:val="5760879E"/>
    <w:lvl w:ilvl="0" w:tplc="0AACE30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673953"/>
    <w:multiLevelType w:val="hybridMultilevel"/>
    <w:tmpl w:val="E102C9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9C84051"/>
    <w:multiLevelType w:val="hybridMultilevel"/>
    <w:tmpl w:val="16F2A6F0"/>
    <w:lvl w:ilvl="0" w:tplc="0AACE30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045761081">
    <w:abstractNumId w:val="10"/>
  </w:num>
  <w:num w:numId="11" w16cid:durableId="168183428">
    <w:abstractNumId w:val="9"/>
  </w:num>
  <w:num w:numId="12" w16cid:durableId="982079288">
    <w:abstractNumId w:val="12"/>
  </w:num>
  <w:num w:numId="13" w16cid:durableId="635648765">
    <w:abstractNumId w:val="11"/>
  </w:num>
  <w:num w:numId="14" w16cid:durableId="471367246">
    <w:abstractNumId w:val="13"/>
  </w:num>
  <w:num w:numId="15" w16cid:durableId="5346622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65E"/>
    <w:rsid w:val="000A353F"/>
    <w:rsid w:val="0015074B"/>
    <w:rsid w:val="0029639D"/>
    <w:rsid w:val="00326F90"/>
    <w:rsid w:val="00422E7A"/>
    <w:rsid w:val="004B5529"/>
    <w:rsid w:val="008237CA"/>
    <w:rsid w:val="00831051"/>
    <w:rsid w:val="00AA1D8D"/>
    <w:rsid w:val="00B47730"/>
    <w:rsid w:val="00CB0664"/>
    <w:rsid w:val="00DE2213"/>
    <w:rsid w:val="00E31114"/>
    <w:rsid w:val="00E52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08465E"/>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Deepali Pandey</cp:lastModifiedBy>
  <cp:revision>3</cp:revision>
  <dcterms:created xsi:type="dcterms:W3CDTF">2025-10-18T05:22:00Z</dcterms:created>
  <dcterms:modified xsi:type="dcterms:W3CDTF">2025-11-16T18:37:00Z</dcterms:modified>
  <cp:category/>
</cp:coreProperties>
</file>