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3BC7" w14:textId="77777777" w:rsidR="00A64C20" w:rsidRPr="00115021" w:rsidRDefault="00115021">
      <w:pPr>
        <w:pStyle w:val="Title"/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16110F4C" w14:textId="58E98327" w:rsidR="00A64C20" w:rsidRPr="00115021" w:rsidRDefault="00115021" w:rsidP="007420CF">
      <w:pPr>
        <w:pStyle w:val="Heading1"/>
        <w:spacing w:line="240" w:lineRule="auto"/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1. Summary of Predictive Insights</w:t>
      </w:r>
    </w:p>
    <w:p w14:paraId="6E0D2080" w14:textId="5AADDA70" w:rsidR="00A96874" w:rsidRPr="00A96874" w:rsidRDefault="00A96874">
      <w:pPr>
        <w:rPr>
          <w:rFonts w:ascii="Arial" w:hAnsi="Arial" w:cs="Arial"/>
        </w:rPr>
      </w:pPr>
      <w:r w:rsidRPr="00A96874">
        <w:rPr>
          <w:rFonts w:ascii="Arial" w:hAnsi="Arial" w:cs="Arial"/>
        </w:rPr>
        <w:t>Based on exploratory data analysis  and predictive modeling , the following key patterns were identified among Geldium’s customer base. These insights will help the Collections team prioritize outreach and tailor interventions effectively</w:t>
      </w:r>
      <w:r w:rsidRPr="00A96874">
        <w:rPr>
          <w:rFonts w:ascii="Arial" w:hAnsi="Arial" w:cs="Arial"/>
        </w:rPr>
        <w:t>.</w:t>
      </w:r>
    </w:p>
    <w:p w14:paraId="233399D9" w14:textId="740E923D" w:rsidR="00A64C20" w:rsidRDefault="00115021">
      <w:pPr>
        <w:rPr>
          <w:rFonts w:ascii="Arial" w:hAnsi="Arial" w:cs="Arial"/>
          <w:b/>
          <w:bCs/>
          <w:color w:val="000000" w:themeColor="text1"/>
        </w:rPr>
      </w:pPr>
      <w:r w:rsidRPr="00115021">
        <w:rPr>
          <w:rFonts w:ascii="Arial" w:hAnsi="Arial" w:cs="Arial"/>
          <w:b/>
          <w:bCs/>
          <w:color w:val="000000" w:themeColor="text1"/>
        </w:rPr>
        <w:t>Key Insights Summary Table:</w:t>
      </w:r>
    </w:p>
    <w:tbl>
      <w:tblPr>
        <w:tblStyle w:val="PlainTable1"/>
        <w:tblW w:w="9189" w:type="dxa"/>
        <w:tblLook w:val="04A0" w:firstRow="1" w:lastRow="0" w:firstColumn="1" w:lastColumn="0" w:noHBand="0" w:noVBand="1"/>
      </w:tblPr>
      <w:tblGrid>
        <w:gridCol w:w="4163"/>
        <w:gridCol w:w="5026"/>
      </w:tblGrid>
      <w:tr w:rsidR="00A96874" w:rsidRPr="00A96874" w14:paraId="3F31D002" w14:textId="77777777" w:rsidTr="00A968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3" w:type="dxa"/>
            <w:hideMark/>
          </w:tcPr>
          <w:p w14:paraId="4FC15627" w14:textId="77777777" w:rsidR="00A96874" w:rsidRPr="00A96874" w:rsidRDefault="00A96874" w:rsidP="00A968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9687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Top Risk Factors</w:t>
            </w:r>
          </w:p>
        </w:tc>
        <w:tc>
          <w:tcPr>
            <w:tcW w:w="5026" w:type="dxa"/>
            <w:hideMark/>
          </w:tcPr>
          <w:p w14:paraId="4713019D" w14:textId="77777777" w:rsidR="00A96874" w:rsidRPr="00A96874" w:rsidRDefault="00A96874" w:rsidP="00A968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9687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A96874" w:rsidRPr="00A96874" w14:paraId="0C40C21F" w14:textId="77777777" w:rsidTr="00A968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3" w:type="dxa"/>
            <w:hideMark/>
          </w:tcPr>
          <w:p w14:paraId="7505ACBF" w14:textId="77777777" w:rsidR="00A96874" w:rsidRPr="00A96874" w:rsidRDefault="00A96874" w:rsidP="00A96874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High Credit Utilization (&gt; 75%)</w:t>
            </w:r>
          </w:p>
        </w:tc>
        <w:tc>
          <w:tcPr>
            <w:tcW w:w="5026" w:type="dxa"/>
            <w:hideMark/>
          </w:tcPr>
          <w:p w14:paraId="75C11B49" w14:textId="77777777" w:rsidR="00A96874" w:rsidRPr="00A96874" w:rsidRDefault="00A96874" w:rsidP="00A968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Strong correlation with missed payments; indicates customers over-leveraging available credit.</w:t>
            </w:r>
          </w:p>
        </w:tc>
      </w:tr>
      <w:tr w:rsidR="00A96874" w:rsidRPr="00A96874" w14:paraId="3284F298" w14:textId="77777777" w:rsidTr="00A96874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3" w:type="dxa"/>
            <w:hideMark/>
          </w:tcPr>
          <w:p w14:paraId="2B63E9D1" w14:textId="77777777" w:rsidR="00A96874" w:rsidRPr="00A96874" w:rsidRDefault="00A96874" w:rsidP="00A96874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Frequent Missed Payments (≥ 2 within 6 months)</w:t>
            </w:r>
          </w:p>
        </w:tc>
        <w:tc>
          <w:tcPr>
            <w:tcW w:w="5026" w:type="dxa"/>
            <w:hideMark/>
          </w:tcPr>
          <w:p w14:paraId="330DC680" w14:textId="2EB6A889" w:rsidR="00A96874" w:rsidRPr="00A96874" w:rsidRDefault="00A96874" w:rsidP="00A968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Early sign of financial stress and poor repayment behavio</w:t>
            </w:r>
            <w:r w:rsidRPr="00A96874">
              <w:rPr>
                <w:rFonts w:ascii="Arial" w:eastAsia="Times New Roman" w:hAnsi="Arial" w:cs="Arial"/>
                <w:lang w:val="en-IN" w:eastAsia="en-IN"/>
              </w:rPr>
              <w:t>u</w:t>
            </w:r>
            <w:r w:rsidRPr="00A96874">
              <w:rPr>
                <w:rFonts w:ascii="Arial" w:eastAsia="Times New Roman" w:hAnsi="Arial" w:cs="Arial"/>
                <w:lang w:val="en-IN" w:eastAsia="en-IN"/>
              </w:rPr>
              <w:t>r.</w:t>
            </w:r>
          </w:p>
        </w:tc>
      </w:tr>
      <w:tr w:rsidR="00A96874" w:rsidRPr="00A96874" w14:paraId="2C07592A" w14:textId="77777777" w:rsidTr="00A968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63" w:type="dxa"/>
            <w:hideMark/>
          </w:tcPr>
          <w:p w14:paraId="315B7FBF" w14:textId="77777777" w:rsidR="00A96874" w:rsidRPr="00A96874" w:rsidRDefault="00A96874" w:rsidP="00A96874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High Debt-to-Income Ratio (&gt; 0.5)</w:t>
            </w:r>
          </w:p>
        </w:tc>
        <w:tc>
          <w:tcPr>
            <w:tcW w:w="5026" w:type="dxa"/>
            <w:hideMark/>
          </w:tcPr>
          <w:p w14:paraId="1E4083A7" w14:textId="77777777" w:rsidR="00A96874" w:rsidRPr="00A96874" w:rsidRDefault="00A96874" w:rsidP="00A968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Customers whose debt obligations consume &gt; 50 % of income are ≈ 3× more likely to default.</w:t>
            </w:r>
          </w:p>
        </w:tc>
      </w:tr>
    </w:tbl>
    <w:p w14:paraId="1A3807CB" w14:textId="77777777" w:rsidR="00A96874" w:rsidRPr="00A96874" w:rsidRDefault="00A96874">
      <w:pPr>
        <w:rPr>
          <w:rFonts w:ascii="Arial" w:hAnsi="Arial" w:cs="Arial"/>
          <w:sz w:val="20"/>
          <w:szCs w:val="20"/>
        </w:rPr>
      </w:pPr>
    </w:p>
    <w:p w14:paraId="6D2C3A98" w14:textId="73ABA078" w:rsidR="00A96874" w:rsidRPr="00A96874" w:rsidRDefault="00A96874">
      <w:r w:rsidRPr="00A96874">
        <w:rPr>
          <w:rFonts w:ascii="Arial" w:hAnsi="Arial" w:cs="Arial"/>
        </w:rPr>
        <w:t>High-risk segments include younger customers (under 30) with short account tenure (&lt; 2 years) and volatile income patterns, as well as mid-income customers showing rising utilization and intermittent payment delays</w:t>
      </w:r>
      <w:r>
        <w:t>.</w:t>
      </w:r>
    </w:p>
    <w:p w14:paraId="62044575" w14:textId="77777777" w:rsidR="007420CF" w:rsidRDefault="007420CF">
      <w:pPr>
        <w:pStyle w:val="Heading1"/>
        <w:rPr>
          <w:rFonts w:ascii="Arial" w:hAnsi="Arial" w:cs="Arial"/>
          <w:color w:val="000000" w:themeColor="text1"/>
        </w:rPr>
      </w:pPr>
    </w:p>
    <w:p w14:paraId="68D1BCA6" w14:textId="46FC8EEF" w:rsidR="00A64C20" w:rsidRPr="00115021" w:rsidRDefault="00115021">
      <w:pPr>
        <w:pStyle w:val="Heading1"/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2. Recommendation Framework</w:t>
      </w:r>
    </w:p>
    <w:p w14:paraId="513F0DEF" w14:textId="77777777" w:rsidR="00A64C20" w:rsidRPr="00115021" w:rsidRDefault="00115021">
      <w:p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Restated Insight:</w:t>
      </w:r>
    </w:p>
    <w:p w14:paraId="7B067DA9" w14:textId="77777777" w:rsidR="00A64C20" w:rsidRPr="00115021" w:rsidRDefault="00115021">
      <w:p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Customers under 30 with two or more missed payments have a significantly higher likelihood of delinquency.</w:t>
      </w:r>
    </w:p>
    <w:p w14:paraId="430FB58E" w14:textId="77777777" w:rsidR="00A64C20" w:rsidRPr="00115021" w:rsidRDefault="00115021">
      <w:pPr>
        <w:rPr>
          <w:rFonts w:ascii="Arial" w:hAnsi="Arial" w:cs="Arial"/>
          <w:color w:val="000000" w:themeColor="text1"/>
        </w:rPr>
      </w:pPr>
      <w:r w:rsidRPr="00115021">
        <w:rPr>
          <w:rFonts w:ascii="Arial" w:hAnsi="Arial" w:cs="Arial"/>
          <w:color w:val="000000" w:themeColor="text1"/>
        </w:rPr>
        <w:t>Proposed Recommendation:</w:t>
      </w:r>
    </w:p>
    <w:p w14:paraId="1B356B31" w14:textId="669021AF" w:rsidR="00A96874" w:rsidRDefault="00A96874">
      <w:pPr>
        <w:rPr>
          <w:rFonts w:ascii="Arial" w:hAnsi="Arial" w:cs="Arial"/>
        </w:rPr>
      </w:pPr>
      <w:r w:rsidRPr="00A96874">
        <w:rPr>
          <w:rFonts w:ascii="Arial" w:hAnsi="Arial" w:cs="Arial"/>
        </w:rPr>
        <w:t>Launch a 6-week SMS and email outreach pilot targeting customers with credit utilization above 75 %, aiming to reduce 30-day delinquency by 10 % within three month</w:t>
      </w:r>
      <w:r w:rsidR="007420CF">
        <w:rPr>
          <w:rFonts w:ascii="Arial" w:hAnsi="Arial" w:cs="Arial"/>
        </w:rPr>
        <w:t>.</w:t>
      </w:r>
    </w:p>
    <w:p w14:paraId="40F3EC29" w14:textId="77777777" w:rsidR="007420CF" w:rsidRDefault="007420CF">
      <w:pPr>
        <w:rPr>
          <w:rFonts w:ascii="Arial" w:hAnsi="Arial" w:cs="Arial"/>
        </w:rPr>
      </w:pPr>
    </w:p>
    <w:p w14:paraId="6AD9F799" w14:textId="77777777" w:rsidR="007420CF" w:rsidRPr="007420CF" w:rsidRDefault="007420CF">
      <w:pPr>
        <w:rPr>
          <w:rFonts w:ascii="Arial" w:hAnsi="Arial" w:cs="Arial"/>
        </w:rPr>
      </w:pPr>
    </w:p>
    <w:tbl>
      <w:tblPr>
        <w:tblStyle w:val="PlainTable1"/>
        <w:tblW w:w="9005" w:type="dxa"/>
        <w:tblLook w:val="04A0" w:firstRow="1" w:lastRow="0" w:firstColumn="1" w:lastColumn="0" w:noHBand="0" w:noVBand="1"/>
      </w:tblPr>
      <w:tblGrid>
        <w:gridCol w:w="1968"/>
        <w:gridCol w:w="7037"/>
      </w:tblGrid>
      <w:tr w:rsidR="00A96874" w:rsidRPr="00A96874" w14:paraId="4823439A" w14:textId="77777777" w:rsidTr="00A968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833EC" w14:textId="77777777" w:rsidR="00A96874" w:rsidRPr="00A96874" w:rsidRDefault="00A96874" w:rsidP="00A96874">
            <w:pPr>
              <w:jc w:val="center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SMART Criteria</w:t>
            </w:r>
          </w:p>
        </w:tc>
        <w:tc>
          <w:tcPr>
            <w:tcW w:w="0" w:type="auto"/>
            <w:hideMark/>
          </w:tcPr>
          <w:p w14:paraId="6DDCBBF3" w14:textId="77777777" w:rsidR="00A96874" w:rsidRPr="00A96874" w:rsidRDefault="00A96874" w:rsidP="00A968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Details</w:t>
            </w:r>
          </w:p>
        </w:tc>
      </w:tr>
      <w:tr w:rsidR="00A96874" w:rsidRPr="00A96874" w14:paraId="0C6201B0" w14:textId="77777777" w:rsidTr="00A968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53B32" w14:textId="77777777" w:rsidR="00A96874" w:rsidRPr="00A96874" w:rsidRDefault="00A96874" w:rsidP="00A96874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Specific</w:t>
            </w:r>
          </w:p>
        </w:tc>
        <w:tc>
          <w:tcPr>
            <w:tcW w:w="0" w:type="auto"/>
            <w:hideMark/>
          </w:tcPr>
          <w:p w14:paraId="741CB53E" w14:textId="77777777" w:rsidR="00A96874" w:rsidRPr="00A96874" w:rsidRDefault="00A96874" w:rsidP="00A968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Target high-utilization customers (&gt; 75 %) for proactive outreach.</w:t>
            </w:r>
          </w:p>
        </w:tc>
      </w:tr>
      <w:tr w:rsidR="00A96874" w:rsidRPr="00A96874" w14:paraId="43E334F4" w14:textId="77777777" w:rsidTr="00A96874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781A6" w14:textId="77777777" w:rsidR="00A96874" w:rsidRPr="00A96874" w:rsidRDefault="00A96874" w:rsidP="00A96874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Measurable</w:t>
            </w:r>
          </w:p>
        </w:tc>
        <w:tc>
          <w:tcPr>
            <w:tcW w:w="0" w:type="auto"/>
            <w:hideMark/>
          </w:tcPr>
          <w:p w14:paraId="1A658670" w14:textId="77777777" w:rsidR="00A96874" w:rsidRPr="00A96874" w:rsidRDefault="00A96874" w:rsidP="00A968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Aim to reduce 30-day delinquency by 10 %.</w:t>
            </w:r>
          </w:p>
        </w:tc>
      </w:tr>
      <w:tr w:rsidR="00A96874" w:rsidRPr="00A96874" w14:paraId="3618FBB2" w14:textId="77777777" w:rsidTr="00A968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34C4E" w14:textId="77777777" w:rsidR="00A96874" w:rsidRPr="00A96874" w:rsidRDefault="00A96874" w:rsidP="00A96874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Actionable</w:t>
            </w:r>
          </w:p>
        </w:tc>
        <w:tc>
          <w:tcPr>
            <w:tcW w:w="0" w:type="auto"/>
            <w:hideMark/>
          </w:tcPr>
          <w:p w14:paraId="28433A1C" w14:textId="77777777" w:rsidR="00A96874" w:rsidRPr="00A96874" w:rsidRDefault="00A96874" w:rsidP="00A968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Use existing communication channels (SMS, email).</w:t>
            </w:r>
          </w:p>
        </w:tc>
      </w:tr>
      <w:tr w:rsidR="00A96874" w:rsidRPr="00A96874" w14:paraId="7E0EACDD" w14:textId="77777777" w:rsidTr="00A96874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CA5FD" w14:textId="77777777" w:rsidR="00A96874" w:rsidRPr="00A96874" w:rsidRDefault="00A96874" w:rsidP="00A96874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Relevant</w:t>
            </w:r>
          </w:p>
        </w:tc>
        <w:tc>
          <w:tcPr>
            <w:tcW w:w="0" w:type="auto"/>
            <w:hideMark/>
          </w:tcPr>
          <w:p w14:paraId="03F8E24F" w14:textId="77777777" w:rsidR="00A96874" w:rsidRPr="00A96874" w:rsidRDefault="00A96874" w:rsidP="00A968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Aligns with Geldium’s goal to minimize early-stage defaults.</w:t>
            </w:r>
          </w:p>
        </w:tc>
      </w:tr>
      <w:tr w:rsidR="00A96874" w:rsidRPr="00A96874" w14:paraId="286AAFBE" w14:textId="77777777" w:rsidTr="00A968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A9505" w14:textId="77777777" w:rsidR="00A96874" w:rsidRPr="00A96874" w:rsidRDefault="00A96874" w:rsidP="00A96874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Time-bound</w:t>
            </w:r>
          </w:p>
        </w:tc>
        <w:tc>
          <w:tcPr>
            <w:tcW w:w="0" w:type="auto"/>
            <w:hideMark/>
          </w:tcPr>
          <w:p w14:paraId="7503A8AB" w14:textId="77777777" w:rsidR="00A96874" w:rsidRPr="00A96874" w:rsidRDefault="00A96874" w:rsidP="00A968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6-week pilot to measure impact within 3 months.</w:t>
            </w:r>
          </w:p>
        </w:tc>
      </w:tr>
    </w:tbl>
    <w:p w14:paraId="4159E05B" w14:textId="41E5EC06" w:rsidR="00A96874" w:rsidRPr="00A96874" w:rsidRDefault="00A96874">
      <w:pPr>
        <w:rPr>
          <w:rFonts w:ascii="Arial" w:hAnsi="Arial" w:cs="Arial"/>
          <w:color w:val="000000" w:themeColor="text1"/>
          <w:lang w:val="en-IN"/>
        </w:rPr>
      </w:pPr>
    </w:p>
    <w:p w14:paraId="2CEAAC6F" w14:textId="7F1C9A6B" w:rsidR="00A96874" w:rsidRPr="00A96874" w:rsidRDefault="00A96874">
      <w:pPr>
        <w:rPr>
          <w:rFonts w:ascii="Arial" w:hAnsi="Arial" w:cs="Arial"/>
          <w:color w:val="000000" w:themeColor="text1"/>
        </w:rPr>
      </w:pPr>
      <w:r w:rsidRPr="00A96874">
        <w:rPr>
          <w:rStyle w:val="Strong"/>
          <w:rFonts w:ascii="Arial" w:hAnsi="Arial" w:cs="Arial"/>
        </w:rPr>
        <w:t>Rationale:</w:t>
      </w:r>
      <w:r w:rsidRPr="00A96874">
        <w:rPr>
          <w:rFonts w:ascii="Arial" w:hAnsi="Arial" w:cs="Arial"/>
        </w:rPr>
        <w:t xml:space="preserve"> This recommendation is data-driven, operationally feasible, and promotes timely engagement with customers before severe delinquency occurs</w:t>
      </w:r>
      <w:r w:rsidRPr="00A96874">
        <w:rPr>
          <w:rFonts w:ascii="Arial" w:hAnsi="Arial" w:cs="Arial"/>
        </w:rPr>
        <w:t>.</w:t>
      </w:r>
    </w:p>
    <w:p w14:paraId="74221722" w14:textId="77777777" w:rsidR="007420CF" w:rsidRDefault="007420CF" w:rsidP="007420CF">
      <w:pPr>
        <w:pStyle w:val="Heading1"/>
        <w:rPr>
          <w:rFonts w:ascii="Arial" w:hAnsi="Arial" w:cs="Arial"/>
          <w:color w:val="000000" w:themeColor="text1"/>
        </w:rPr>
      </w:pPr>
    </w:p>
    <w:p w14:paraId="232EFE78" w14:textId="5CE51177" w:rsidR="007420CF" w:rsidRPr="007420CF" w:rsidRDefault="00115021" w:rsidP="007420CF">
      <w:pPr>
        <w:pStyle w:val="Heading1"/>
        <w:rPr>
          <w:rFonts w:ascii="Arial" w:hAnsi="Arial" w:cs="Arial"/>
          <w:color w:val="000000" w:themeColor="text1"/>
        </w:rPr>
      </w:pPr>
      <w:r w:rsidRPr="00A96874">
        <w:rPr>
          <w:rFonts w:ascii="Arial" w:hAnsi="Arial" w:cs="Arial"/>
          <w:color w:val="000000" w:themeColor="text1"/>
        </w:rPr>
        <w:t>3. Ethical and Responsible AI Considerations</w:t>
      </w:r>
    </w:p>
    <w:p w14:paraId="7FF89562" w14:textId="77777777" w:rsidR="00115021" w:rsidRPr="00A96874" w:rsidRDefault="00115021">
      <w:pPr>
        <w:rPr>
          <w:rFonts w:ascii="Arial" w:hAnsi="Arial" w:cs="Arial"/>
          <w:color w:val="000000" w:themeColor="text1"/>
        </w:rPr>
      </w:pPr>
      <w:r w:rsidRPr="00A96874">
        <w:rPr>
          <w:rFonts w:ascii="Arial" w:hAnsi="Arial" w:cs="Arial"/>
          <w:color w:val="000000" w:themeColor="text1"/>
        </w:rPr>
        <w:t>The model was evaluated for fairness using multiple performance metrics across age and income groups. No disproportionate flagging of protected segments was observed.</w:t>
      </w:r>
    </w:p>
    <w:tbl>
      <w:tblPr>
        <w:tblStyle w:val="PlainTable1"/>
        <w:tblW w:w="9166" w:type="dxa"/>
        <w:tblLook w:val="04A0" w:firstRow="1" w:lastRow="0" w:firstColumn="1" w:lastColumn="0" w:noHBand="0" w:noVBand="1"/>
      </w:tblPr>
      <w:tblGrid>
        <w:gridCol w:w="2170"/>
        <w:gridCol w:w="6996"/>
      </w:tblGrid>
      <w:tr w:rsidR="00A96874" w:rsidRPr="00A96874" w14:paraId="6A098CAA" w14:textId="77777777" w:rsidTr="00A968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751A2" w14:textId="77777777" w:rsidR="00A96874" w:rsidRPr="00A96874" w:rsidRDefault="00A96874" w:rsidP="00A96874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Area</w:t>
            </w:r>
          </w:p>
        </w:tc>
        <w:tc>
          <w:tcPr>
            <w:tcW w:w="0" w:type="auto"/>
            <w:hideMark/>
          </w:tcPr>
          <w:p w14:paraId="5F235891" w14:textId="77777777" w:rsidR="00A96874" w:rsidRPr="00A96874" w:rsidRDefault="00A96874" w:rsidP="00A968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Key Considerations &amp; Mitigation</w:t>
            </w:r>
          </w:p>
        </w:tc>
      </w:tr>
      <w:tr w:rsidR="00A96874" w:rsidRPr="00A96874" w14:paraId="6588BA95" w14:textId="77777777" w:rsidTr="00A968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6355F" w14:textId="77777777" w:rsidR="00A96874" w:rsidRPr="00A96874" w:rsidRDefault="00A96874" w:rsidP="00A96874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Bias</w:t>
            </w:r>
          </w:p>
        </w:tc>
        <w:tc>
          <w:tcPr>
            <w:tcW w:w="0" w:type="auto"/>
            <w:hideMark/>
          </w:tcPr>
          <w:p w14:paraId="6B1A284B" w14:textId="77777777" w:rsidR="00A96874" w:rsidRPr="00A96874" w:rsidRDefault="00A96874" w:rsidP="00A968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Conduct regular fairness audits to ensure balanced model performance across demographics. Avoid proxy variables (e.g., income or region) that may reinforce inequality.</w:t>
            </w:r>
          </w:p>
        </w:tc>
      </w:tr>
      <w:tr w:rsidR="00A96874" w:rsidRPr="00A96874" w14:paraId="4C37553A" w14:textId="77777777" w:rsidTr="00A96874">
        <w:trPr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AD15A" w14:textId="77777777" w:rsidR="00A96874" w:rsidRPr="00A96874" w:rsidRDefault="00A96874" w:rsidP="00A96874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Explainability</w:t>
            </w:r>
          </w:p>
        </w:tc>
        <w:tc>
          <w:tcPr>
            <w:tcW w:w="0" w:type="auto"/>
            <w:hideMark/>
          </w:tcPr>
          <w:p w14:paraId="21EE40C4" w14:textId="77777777" w:rsidR="00A96874" w:rsidRPr="00A96874" w:rsidRDefault="00A96874" w:rsidP="00A968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Use interpretable models such as Logistic Regression or Decision Trees. Communicate insights in plain language (e.g., “High credit use and multiple missed payments increase risk”).</w:t>
            </w:r>
          </w:p>
        </w:tc>
      </w:tr>
      <w:tr w:rsidR="00A96874" w:rsidRPr="00A96874" w14:paraId="49666FE5" w14:textId="77777777" w:rsidTr="00A968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D6A7D" w14:textId="77777777" w:rsidR="00A96874" w:rsidRPr="00A96874" w:rsidRDefault="00A96874" w:rsidP="00A96874">
            <w:pPr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Responsible Decision-Making</w:t>
            </w:r>
          </w:p>
        </w:tc>
        <w:tc>
          <w:tcPr>
            <w:tcW w:w="0" w:type="auto"/>
            <w:hideMark/>
          </w:tcPr>
          <w:p w14:paraId="407AFDC6" w14:textId="77777777" w:rsidR="00A96874" w:rsidRPr="00A96874" w:rsidRDefault="00A96874" w:rsidP="00A968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val="en-IN" w:eastAsia="en-IN"/>
              </w:rPr>
            </w:pPr>
            <w:r w:rsidRPr="00A96874">
              <w:rPr>
                <w:rFonts w:ascii="Arial" w:eastAsia="Times New Roman" w:hAnsi="Arial" w:cs="Arial"/>
                <w:lang w:val="en-IN" w:eastAsia="en-IN"/>
              </w:rPr>
              <w:t>Maintain human oversight before acting on model outputs. Ensure fairness, compliance, and customer trust at every stage.</w:t>
            </w:r>
          </w:p>
        </w:tc>
      </w:tr>
    </w:tbl>
    <w:p w14:paraId="7B8030CF" w14:textId="0BE1F2C0" w:rsidR="00A64C20" w:rsidRDefault="00A64C20" w:rsidP="00A96874">
      <w:pPr>
        <w:rPr>
          <w:rFonts w:ascii="Arial" w:hAnsi="Arial" w:cs="Arial"/>
          <w:color w:val="000000" w:themeColor="text1"/>
          <w:lang w:val="en-IN"/>
        </w:rPr>
      </w:pPr>
    </w:p>
    <w:p w14:paraId="535B3201" w14:textId="706DE8B1" w:rsidR="00A96874" w:rsidRPr="00A96874" w:rsidRDefault="00A96874" w:rsidP="00A96874">
      <w:pPr>
        <w:rPr>
          <w:rFonts w:ascii="Arial" w:hAnsi="Arial" w:cs="Arial"/>
          <w:color w:val="000000" w:themeColor="text1"/>
          <w:lang w:val="en-IN"/>
        </w:rPr>
      </w:pPr>
      <w:r>
        <w:t>Embedding these principles ensures Geldium’s AI-powered collections strategy remains fair, explainable, and aligned with regulatory standards.</w:t>
      </w:r>
    </w:p>
    <w:sectPr w:rsidR="00A96874" w:rsidRPr="00A968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56E68" w14:textId="77777777" w:rsidR="00451E0D" w:rsidRDefault="00451E0D" w:rsidP="007420CF">
      <w:pPr>
        <w:spacing w:after="0" w:line="240" w:lineRule="auto"/>
      </w:pPr>
      <w:r>
        <w:separator/>
      </w:r>
    </w:p>
  </w:endnote>
  <w:endnote w:type="continuationSeparator" w:id="0">
    <w:p w14:paraId="3849707D" w14:textId="77777777" w:rsidR="00451E0D" w:rsidRDefault="00451E0D" w:rsidP="00742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0F11B" w14:textId="77777777" w:rsidR="00451E0D" w:rsidRDefault="00451E0D" w:rsidP="007420CF">
      <w:pPr>
        <w:spacing w:after="0" w:line="240" w:lineRule="auto"/>
      </w:pPr>
      <w:r>
        <w:separator/>
      </w:r>
    </w:p>
  </w:footnote>
  <w:footnote w:type="continuationSeparator" w:id="0">
    <w:p w14:paraId="51FF15A8" w14:textId="77777777" w:rsidR="00451E0D" w:rsidRDefault="00451E0D" w:rsidP="007420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3A59CF"/>
    <w:multiLevelType w:val="hybridMultilevel"/>
    <w:tmpl w:val="9A5E8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A25BD"/>
    <w:multiLevelType w:val="hybridMultilevel"/>
    <w:tmpl w:val="68DE6B9C"/>
    <w:lvl w:ilvl="0" w:tplc="BFD49B7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E3764E"/>
    <w:multiLevelType w:val="hybridMultilevel"/>
    <w:tmpl w:val="AA621F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FA112A"/>
    <w:multiLevelType w:val="hybridMultilevel"/>
    <w:tmpl w:val="552CE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46317">
    <w:abstractNumId w:val="8"/>
  </w:num>
  <w:num w:numId="2" w16cid:durableId="2085642107">
    <w:abstractNumId w:val="6"/>
  </w:num>
  <w:num w:numId="3" w16cid:durableId="1579250593">
    <w:abstractNumId w:val="5"/>
  </w:num>
  <w:num w:numId="4" w16cid:durableId="1567834221">
    <w:abstractNumId w:val="4"/>
  </w:num>
  <w:num w:numId="5" w16cid:durableId="57170939">
    <w:abstractNumId w:val="7"/>
  </w:num>
  <w:num w:numId="6" w16cid:durableId="841512806">
    <w:abstractNumId w:val="3"/>
  </w:num>
  <w:num w:numId="7" w16cid:durableId="696929647">
    <w:abstractNumId w:val="2"/>
  </w:num>
  <w:num w:numId="8" w16cid:durableId="1704399148">
    <w:abstractNumId w:val="1"/>
  </w:num>
  <w:num w:numId="9" w16cid:durableId="1212691614">
    <w:abstractNumId w:val="0"/>
  </w:num>
  <w:num w:numId="10" w16cid:durableId="152181550">
    <w:abstractNumId w:val="12"/>
  </w:num>
  <w:num w:numId="11" w16cid:durableId="363601673">
    <w:abstractNumId w:val="10"/>
  </w:num>
  <w:num w:numId="12" w16cid:durableId="1564565011">
    <w:abstractNumId w:val="11"/>
  </w:num>
  <w:num w:numId="13" w16cid:durableId="7347395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021"/>
    <w:rsid w:val="0015074B"/>
    <w:rsid w:val="0029639D"/>
    <w:rsid w:val="00326F90"/>
    <w:rsid w:val="00451E0D"/>
    <w:rsid w:val="007420CF"/>
    <w:rsid w:val="008237CA"/>
    <w:rsid w:val="00A64C20"/>
    <w:rsid w:val="00A96874"/>
    <w:rsid w:val="00AA1D8D"/>
    <w:rsid w:val="00B34982"/>
    <w:rsid w:val="00B47730"/>
    <w:rsid w:val="00CB0664"/>
    <w:rsid w:val="00E1283B"/>
    <w:rsid w:val="00FB59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070BB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A9687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Deepali Pandey</cp:lastModifiedBy>
  <cp:revision>2</cp:revision>
  <dcterms:created xsi:type="dcterms:W3CDTF">2025-10-23T16:54:00Z</dcterms:created>
  <dcterms:modified xsi:type="dcterms:W3CDTF">2025-10-23T16:54:00Z</dcterms:modified>
  <cp:category/>
</cp:coreProperties>
</file>