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CI run all 16 planned integration tests passed (933 Newman assertions, 0 failures), together with 672 unit and feature tests, 39 registry checks and an axe check with no WCAG 2.1 A/AA violations on 33 pages. On the deployed system a read-only Newman smoke run passed (389 assertions, 0 failures), and JMeter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and onboarding for first-time job seekers and employers (a three-step welcome tour and a "Get started" checklist on the dashboard).</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and company profiles, job postings with structured accommodations, search/filter/matching, saved jobs, application workflow, feedback and trust score, dashboards,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No mobile app, payments, or video interviews are included.</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and onboarding for first-time users;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Lucide icons, self-hosted Lexend and Atkinson Hyperlegible fonts, Web Speech API</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postings, matching, saved jobs, applications and status workflow, feedback and trust score, dashboards, in-app and email notifications, moderation, master data, onboarding state; scheduled jobs (close expired postings, rating reminders, queued reset emails)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hired_at</w:t>
            </w:r>
            <w:r>
              <w:rPr>
                <w:sz w:val="16"/>
                <w:szCs w:val="16"/>
              </w:rPr>
              <w:t xml:space="preserve"> for the timeline)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today; queued reset-link jobs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status=pending_approval</w:t>
            </w:r>
            <w:r>
              <w:rPr>
                <w:sz w:val="16"/>
                <w:szCs w:val="16"/>
              </w:rPr>
              <w:t xml:space="preserve">; 3 accommodations stored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saved needs (demo candidate: 3) searches with </w:t>
            </w:r>
            <w:r>
              <w:rPr>
                <w:rFonts w:ascii="Consolas" w:cs="Consolas" w:eastAsia="Consolas" w:hAnsi="Consolas"/>
                <w:sz w:val="16"/>
                <w:szCs w:val="16"/>
              </w:rPr>
              <w:t xml:space="preserve">match=1</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ranked 3/3 → 1/3 → 0/3; </w:t>
            </w:r>
            <w:r>
              <w:rPr>
                <w:rFonts w:ascii="Consolas" w:cs="Consolas" w:eastAsia="Consolas" w:hAnsi="Consolas"/>
                <w:sz w:val="16"/>
                <w:szCs w:val="16"/>
              </w:rPr>
              <w:t xml:space="preserve">missing</w:t>
            </w:r>
            <w:r>
              <w:rPr>
                <w:sz w:val="16"/>
                <w:szCs w:val="16"/>
              </w:rPr>
              <w:t xml:space="preserve"> = total − met, named on the details page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that is pending cannot be changed to hired.")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 30 days after the hire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95 ms; code </w:t>
            </w:r>
            <w:r>
              <w:rPr>
                <w:rFonts w:ascii="Consolas" w:cs="Consolas" w:eastAsia="Consolas" w:hAnsi="Consolas"/>
                <w:sz w:val="16"/>
                <w:szCs w:val="16"/>
              </w:rPr>
              <w:t xml:space="preserve">1381300000</w:t>
            </w:r>
            <w:r>
              <w:rPr>
                <w:sz w:val="16"/>
                <w:szCs w:val="16"/>
              </w:rPr>
              <w:t xml:space="preserve"> with its label, lat 14.651 / lon 121.0493, </w:t>
            </w:r>
            <w:r>
              <w:rPr>
                <w:rFonts w:ascii="Consolas" w:cs="Consolas" w:eastAsia="Consolas" w:hAnsi="Consolas"/>
                <w:sz w:val="16"/>
                <w:szCs w:val="16"/>
              </w:rPr>
              <w:t xml:space="preserve">precision=street</w:t>
            </w:r>
            <w:r>
              <w:rPr>
                <w:sz w:val="16"/>
                <w:szCs w:val="16"/>
              </w:rPr>
              <w:t xml:space="preserve">; every source </w:t>
            </w:r>
            <w:r>
              <w:rPr>
                <w:rFonts w:ascii="Consolas" w:cs="Consolas" w:eastAsia="Consolas" w:hAnsi="Consolas"/>
                <w:sz w:val="16"/>
                <w:szCs w:val="16"/>
              </w:rPr>
              <w:t xml:space="preserve">ok</w:t>
            </w:r>
            <w:r>
              <w:rPr>
                <w:sz w:val="16"/>
                <w:szCs w:val="16"/>
              </w:rPr>
              <w:t xml:space="preserve"> (CI uses the mock external APIs; live APIs on 7 Oct 2026: 3.7 s, then 0.1 s from the cache)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39 ms; location, employer claims and trust score present; Overpass </w:t>
            </w:r>
            <w:r>
              <w:rPr>
                <w:rFonts w:ascii="Consolas" w:cs="Consolas" w:eastAsia="Consolas" w:hAnsi="Consolas"/>
                <w:sz w:val="16"/>
                <w:szCs w:val="16"/>
              </w:rPr>
              <w:t xml:space="preserve">cached</w:t>
            </w:r>
            <w:r>
              <w:rPr>
                <w:sz w:val="16"/>
                <w:szCs w:val="16"/>
              </w:rPr>
              <w:t xml:space="preserve"> because a cached result existed. Without a cache: </w:t>
            </w:r>
            <w:r>
              <w:rPr>
                <w:rFonts w:ascii="Consolas" w:cs="Consolas" w:eastAsia="Consolas" w:hAnsi="Consolas"/>
                <w:sz w:val="16"/>
                <w:szCs w:val="16"/>
              </w:rPr>
              <w:t xml:space="preserve">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(local run 7 Oct 2026; Jest tests)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CI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CI run of 14 October 2026 (GitHub Actions run 38493807232 on commit </w:t>
      </w:r>
      <w:r>
        <w:rPr>
          <w:rFonts w:ascii="Consolas" w:cs="Consolas" w:eastAsia="Consolas" w:hAnsi="Consolas"/>
        </w:rPr>
        <w:t xml:space="preserve">59e1c36</w:t>
      </w:r>
      <w:r>
        <w:t xml:space="preserve">): Newman through the gateway against the containerised stack, with PSGC, Nominatim and Overpass replaced by the mock server. All 16 tests passed.</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(194 requests) runs headless in CI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CI run of 14 October 2026 (run 38493807232, commit </w:t>
      </w:r>
      <w:r>
        <w:rPr>
          <w:rFonts w:ascii="Consolas" w:cs="Consolas" w:eastAsia="Consolas" w:hAnsi="Consolas"/>
        </w:rPr>
        <w:t xml:space="preserve">59e1c36</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193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933</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13.1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41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20 ms</w:t>
            </w:r>
          </w:p>
        </w:tc>
      </w:tr>
    </w:tbl>
    <w:p>
      <w:pPr>
        <w:spacing w:after="120"/>
      </w:pPr>
    </w:p>
    <w:p>
      <w:pPr>
        <w:spacing w:after="60" w:before="60"/>
        <w:jc w:val="center"/>
      </w:pPr>
      <w:r>
        <w:drawing>
          <wp:inline distT="0" distB="0" distL="0" distR="0">
            <wp:extent cx="6286500" cy="3143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5. Newman HTML report (htmlextra) of the full collection, CI run 38493807232</w:t>
      </w:r>
    </w:p>
    <w:p>
      <w:pPr>
        <w:spacing w:after="120" w:line="276"/>
      </w:pPr>
      <w:r>
        <w:t xml:space="preserve">The same run's unit and feature tests all passed: Core Service 365 PHPUnit tests (1,730 assertions) on MySQL 8, React 148 Vitest tests, gateway 24 and Insights Service 135 Jest tests, Business Registry 39 checks; the axe check found no WCAG 2.1 A/AA violations on 33 pages.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on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read-only subset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6.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Integration defects that actually occurred during development, found in live checks through the gateway, in the MySQL test runs or in CI,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bl>
    <w:p>
      <w:pPr>
        <w:spacing w:after="120"/>
      </w:pPr>
    </w:p>
    <w:p>
      <w:pPr>
        <w:spacing w:after="120"/>
      </w:pPr>
      <w:r>
        <w:rPr>
          <w:i/>
          <w:iCs/>
          <w:color w:val="555555"/>
          <w:sz w:val="18"/>
          <w:szCs w:val="18"/>
        </w:rPr>
        <w:t xml:space="preserve">Open: in the CI T13 run the restarted Insights Service still answers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so CI does not show the </w:t>
      </w:r>
      <w:r>
        <w:rPr>
          <w:rFonts w:ascii="Consolas" w:cs="Consolas" w:eastAsia="Consolas" w:hAnsi="Consolas"/>
          <w:i/>
          <w:iCs/>
          <w:color w:val="555555"/>
          <w:sz w:val="18"/>
          <w:szCs w:val="18"/>
        </w:rPr>
        <w:t xml:space="preserve">unavailable</w:t>
      </w:r>
      <w:r>
        <w:rPr>
          <w:i/>
          <w:iCs/>
          <w:color w:val="555555"/>
          <w:sz w:val="18"/>
          <w:szCs w:val="18"/>
        </w:rPr>
        <w:t xml:space="preserve"> path; that path is covered by the Insights Jest tests and the local run of 7 October 2026.</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7.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(73 requests) and Newman runs it against the production gateway with the production demo password (16 Oct 2026: 389 assertions, 0 failures,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deployed system (https://opendoor-rust.vercel.app) with the seeded demo data, captured read-only with the demo accounts on 16 October 2026 in a desktop browser 1,440 px wide. The job details page and its snapshot are from the 14 October 2026 capture of the local stack (</w:t>
      </w:r>
      <w:r>
        <w:rPr>
          <w:rFonts w:ascii="Consolas" w:cs="Consolas" w:eastAsia="Consolas" w:hAnsi="Consolas"/>
          <w:i/>
          <w:iCs/>
          <w:color w:val="555555"/>
          <w:sz w:val="18"/>
          <w:szCs w:val="18"/>
        </w:rPr>
        <w:t xml:space="preserve">npm run ui-reference</w:t>
      </w:r>
      <w:r>
        <w:rPr>
          <w:i/>
          <w:iCs/>
          <w:color w:val="555555"/>
          <w:sz w:val="18"/>
          <w:szCs w:val="18"/>
        </w:rPr>
        <w:t xml:space="preserve"> in </w:t>
      </w:r>
      <w:r>
        <w:rPr>
          <w:rFonts w:ascii="Consolas" w:cs="Consolas" w:eastAsia="Consolas" w:hAnsi="Consolas"/>
          <w:i/>
          <w:iCs/>
          <w:color w:val="555555"/>
          <w:sz w:val="18"/>
          <w:szCs w:val="18"/>
        </w:rPr>
        <w:t xml:space="preserve">tests/a11y</w:t>
      </w:r>
      <w:r>
        <w:rPr>
          <w:i/>
          <w:iCs/>
          <w:color w:val="555555"/>
          <w:sz w:val="18"/>
          <w:szCs w:val="18"/>
        </w:rPr>
        <w:t xml:space="preserve">, earlier logo), because both public Overpass servers were failing on 16 October; the nearby places shown are live OpenStreetMap data from 14 October.</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324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5324475"/>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the offered accommodations, the employer's Verified badge and trust score (M5).</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5162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51625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9195"/>
        <w:jc w:val="center"/>
        <w:tblBorders>
          <w:top w:val="single" w:color="auto" w:sz="4"/>
          <w:left w:val="single" w:color="auto" w:sz="4"/>
          <w:bottom w:val="single" w:color="auto" w:sz="4"/>
          <w:right w:val="single" w:color="auto" w:sz="4"/>
          <w:insideH w:val="single" w:color="auto" w:sz="4"/>
          <w:insideV w:val="single" w:color="auto" w:sz="4"/>
        </w:tblBorders>
      </w:tblPr>
      <w:tblGrid>
        <w:gridCol w:w="9195"/>
      </w:tblGrid>
      <w:tr>
        <w:tc>
          <w:tcPr>
            <w:tcW w:type="dxa" w:w="919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62625" cy="552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("Meets all 3 of your needs", "Meets 1 of your 3 needs") – the output of the matching integration; Save keeps a job for later (M5, M12).</w:t>
      </w:r>
    </w:p>
    <w:p>
      <w:pPr>
        <w:pageBreakBefore/>
        <w:spacing w:after="0"/>
      </w:pP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733800" cy="4000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733800" cy="4000500"/>
                          </a:xfrm>
                          <a:prstGeom prst="rect">
                            <a:avLst/>
                          </a:prstGeom>
                        </pic:spPr>
                      </pic:pic>
                    </a:graphicData>
                  </a:graphic>
                </wp:inline>
              </w:drawing>
            </w:r>
          </w:p>
        </w:tc>
      </w:tr>
    </w:tbl>
    <w:p>
      <w:pPr>
        <w:keepNext/>
        <w:spacing w:after="60"/>
      </w:pPr>
    </w:p>
    <w:tbl>
      <w:tblPr>
        <w:tblW w:type="dxa" w:w="4785"/>
        <w:jc w:val="center"/>
        <w:tblBorders>
          <w:top w:val="single" w:color="auto" w:sz="4"/>
          <w:left w:val="single" w:color="auto" w:sz="4"/>
          <w:bottom w:val="single" w:color="auto" w:sz="4"/>
          <w:right w:val="single" w:color="auto" w:sz="4"/>
          <w:insideH w:val="single" w:color="auto" w:sz="4"/>
          <w:insideV w:val="single" w:color="auto" w:sz="4"/>
        </w:tblBorders>
      </w:tblPr>
      <w:tblGrid>
        <w:gridCol w:w="4785"/>
      </w:tblGrid>
      <w:tr>
        <w:tc>
          <w:tcPr>
            <w:tcW w:type="dxa" w:w="478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962275" cy="2857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622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match, trust score and – when opened – the Workplace Accessibility Snapshot from the Insights mashup (Core + PSGC + Nominatim + Overpass); Apply with an interview accommodation request; Read aloud and Voice input (M4, M6, M7).</w:t>
      </w:r>
    </w:p>
    <w:p>
      <w:pPr>
        <w:pageBreakBefore/>
        <w:spacing w:after="0"/>
      </w:pPr>
    </w:p>
    <w:tbl>
      <w:tblPr>
        <w:tblW w:type="dxa" w:w="9915"/>
        <w:jc w:val="center"/>
        <w:tblBorders>
          <w:top w:val="single" w:color="auto" w:sz="4"/>
          <w:left w:val="single" w:color="auto" w:sz="4"/>
          <w:bottom w:val="single" w:color="auto" w:sz="4"/>
          <w:right w:val="single" w:color="auto" w:sz="4"/>
          <w:insideH w:val="single" w:color="auto" w:sz="4"/>
          <w:insideV w:val="single" w:color="auto" w:sz="4"/>
        </w:tblBorders>
      </w:tblPr>
      <w:tblGrid>
        <w:gridCol w:w="9915"/>
      </w:tblGrid>
      <w:tr>
        <w:tc>
          <w:tcPr>
            <w:tcW w:type="dxa" w:w="99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19825" cy="2857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19825" cy="2857500"/>
                          </a:xfrm>
                          <a:prstGeom prst="rect">
                            <a:avLst/>
                          </a:prstGeom>
                        </pic:spPr>
                      </pic:pic>
                    </a:graphicData>
                  </a:graphic>
                </wp:inline>
              </w:drawing>
            </w:r>
          </w:p>
        </w:tc>
      </w:tr>
    </w:tbl>
    <w:p>
      <w:pPr>
        <w:keepNext/>
        <w:spacing w:after="60"/>
      </w:pPr>
    </w:p>
    <w:tbl>
      <w:tblPr>
        <w:tblW w:type="dxa" w:w="7680"/>
        <w:jc w:val="center"/>
        <w:tblBorders>
          <w:top w:val="single" w:color="auto" w:sz="4"/>
          <w:left w:val="single" w:color="auto" w:sz="4"/>
          <w:bottom w:val="single" w:color="auto" w:sz="4"/>
          <w:right w:val="single" w:color="auto" w:sz="4"/>
          <w:insideH w:val="single" w:color="auto" w:sz="4"/>
          <w:insideV w:val="single" w:color="auto" w:sz="4"/>
        </w:tblBorders>
      </w:tblPr>
      <w:tblGrid>
        <w:gridCol w:w="7680"/>
      </w:tblGrid>
      <w:tr>
        <w:tc>
          <w:tcPr>
            <w:tcW w:type="dxa" w:w="76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800600" cy="4000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00600"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My applications and feedback form</w:t>
      </w:r>
    </w:p>
    <w:p>
      <w:pPr>
        <w:spacing w:after="120" w:line="276"/>
      </w:pPr>
      <w:r>
        <w:t xml:space="preserve">Status tracking of every application, and the per-accommodation rating a hired candidate gives from day 30 after hire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7339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4733925"/>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 3 Accommodations (/employer/jobs/:id/edit)</w:t>
      </w:r>
    </w:p>
    <w:p>
      <w:pPr>
        <w:spacing w:after="120" w:line="276"/>
      </w:pPr>
      <w:r>
        <w:t xml:space="preserve">Four-step wizard, the same for a new posting and for editing (shown: the open "Data Encoder" posting, which goes back for approval when saved): structured accommodations with optional notes; step 2 holds the interview format and the PSGC location picker (M4).</w:t>
      </w:r>
    </w:p>
    <w:p>
      <w:pPr>
        <w:pageBreakBefore/>
        <w:spacing w:after="0"/>
      </w:pPr>
    </w:p>
    <w:tbl>
      <w:tblPr>
        <w:tblW w:type="dxa" w:w="9645"/>
        <w:jc w:val="center"/>
        <w:tblBorders>
          <w:top w:val="single" w:color="auto" w:sz="4"/>
          <w:left w:val="single" w:color="auto" w:sz="4"/>
          <w:bottom w:val="single" w:color="auto" w:sz="4"/>
          <w:right w:val="single" w:color="auto" w:sz="4"/>
          <w:insideH w:val="single" w:color="auto" w:sz="4"/>
          <w:insideV w:val="single" w:color="auto" w:sz="4"/>
        </w:tblBorders>
      </w:tblPr>
      <w:tblGrid>
        <w:gridCol w:w="9645"/>
      </w:tblGrid>
      <w:tr>
        <w:tc>
          <w:tcPr>
            <w:tcW w:type="dxa" w:w="96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048375" cy="2857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48375" cy="2857500"/>
                          </a:xfrm>
                          <a:prstGeom prst="rect">
                            <a:avLst/>
                          </a:prstGeom>
                        </pic:spPr>
                      </pic:pic>
                    </a:graphicData>
                  </a:graphic>
                </wp:inline>
              </w:drawing>
            </w:r>
          </w:p>
        </w:tc>
      </w:tr>
    </w:tbl>
    <w:p>
      <w:pPr>
        <w:keepNext/>
        <w:spacing w:after="60"/>
      </w:pPr>
    </w:p>
    <w:tbl>
      <w:tblPr>
        <w:tblW w:type="dxa" w:w="9165"/>
        <w:jc w:val="center"/>
        <w:tblBorders>
          <w:top w:val="single" w:color="auto" w:sz="4"/>
          <w:left w:val="single" w:color="auto" w:sz="4"/>
          <w:bottom w:val="single" w:color="auto" w:sz="4"/>
          <w:right w:val="single" w:color="auto" w:sz="4"/>
          <w:insideH w:val="single" w:color="auto" w:sz="4"/>
          <w:insideV w:val="single" w:color="auto" w:sz="4"/>
        </w:tblBorders>
      </w:tblPr>
      <w:tblGrid>
        <w:gridCol w:w="9165"/>
      </w:tblGrid>
      <w:tr>
        <w:tc>
          <w:tcPr>
            <w:tcW w:type="dxa" w:w="916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743575" cy="4000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43575" cy="4000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Applicants and trust score</w:t>
      </w:r>
    </w:p>
    <w:p>
      <w:pPr>
        <w:spacing w:after="120" w:line="276"/>
      </w:pPr>
      <w:r>
        <w:t xml:space="preserve">Review applicants and record decisions; see the aggregated trust score with its per-accommodation breakdown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5148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45148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8070"/>
        <w:jc w:val="center"/>
        <w:tblBorders>
          <w:top w:val="single" w:color="auto" w:sz="4"/>
          <w:left w:val="single" w:color="auto" w:sz="4"/>
          <w:bottom w:val="single" w:color="auto" w:sz="4"/>
          <w:right w:val="single" w:color="auto" w:sz="4"/>
          <w:insideH w:val="single" w:color="auto" w:sz="4"/>
          <w:insideV w:val="single" w:color="auto" w:sz="4"/>
        </w:tblBorders>
      </w:tblPr>
      <w:tblGrid>
        <w:gridCol w:w="8070"/>
      </w:tblGrid>
      <w:tr>
        <w:tc>
          <w:tcPr>
            <w:tcW w:type="dxa" w:w="807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48250" cy="32385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238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(/admin/dashboard)</w:t>
      </w:r>
    </w:p>
    <w:p>
      <w:pPr>
        <w:spacing w:after="120" w:line="276"/>
      </w:pPr>
      <w:r>
        <w:t xml:space="preserve">Work queues (employers to verify, postings to approve, open reports) and platform counts: users by role, postings and applications by status, feedback responses and published trust scores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needs: wheelchair-accessible entrance, accessible restroom, written or captioned meetings) logs in, opens Find jobs with "Matches my needs" on and sees three results ranked by needs met: "Data Encoder" (Meets all 3 of your needs), "Customer Support Associate (Chat)" (1 of 3) and "Junior Web Developer" (0 of 3).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"Meets all 3 of your needs", the Verified employer badge, the trust score "79% of promised accommodations were delivered. Based on 3 responses." and the accessible places OpenStreetMap lists within 500 m (when the job-page screenshot in 9.1 was taken on 14 October 2026: no tagged transit stops, toilets or parking, and two other places 423 m and 462 m away). The candidate applies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On a posting that meets only some needs, the details page names the missing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(CI run 38493807232, Section 7.1); all 13 modules M1–M13 are built, including the "Could have" M12 and M13,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(live APIs on 7 Oct 2026, live map data in 9.1);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(169 commits, 14 Oct 2026): no leaks found.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Newman: 933 assertions, 0 failed in CI, and 389 assertions, 0 failed in the production smoke run (Section 7.2).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38493807232);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73 requests, 389 assertions, 0 failed (16 Oct 2026). The smoke run is started by the team, not yet by CI.</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34 pages of the seeded stack (also high contrast at 150% text, 14 Oct 2026) and on 33 pages in CI;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Symfony. (n.d.). Sending emails with Mailer: Brevo transport. https://symfony.com/doc/current/mailer.html</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HTML reports </w:t>
            </w:r>
            <w:r>
              <w:rPr>
                <w:rFonts w:ascii="Consolas" w:cs="Consolas" w:eastAsia="Consolas" w:hAnsi="Consolas"/>
                <w:sz w:val="18"/>
                <w:szCs w:val="18"/>
              </w:rPr>
              <w:t xml:space="preserve">full.html</w:t>
            </w:r>
            <w:r>
              <w:rPr>
                <w:sz w:val="18"/>
                <w:szCs w:val="18"/>
              </w:rPr>
              <w:t xml:space="preserve"> and </w:t>
            </w:r>
            <w:r>
              <w:rPr>
                <w:rFonts w:ascii="Consolas" w:cs="Consolas" w:eastAsia="Consolas" w:hAnsi="Consolas"/>
                <w:sz w:val="18"/>
                <w:szCs w:val="18"/>
              </w:rPr>
              <w:t xml:space="preserve">t13-overpass-down.html</w:t>
            </w:r>
            <w:r>
              <w:rPr>
                <w:sz w:val="18"/>
                <w:szCs w:val="18"/>
              </w:rPr>
              <w:t xml:space="preserve">, artifact </w:t>
            </w:r>
            <w:r>
              <w:rPr>
                <w:rFonts w:ascii="Consolas" w:cs="Consolas" w:eastAsia="Consolas" w:hAnsi="Consolas"/>
                <w:sz w:val="18"/>
                <w:szCs w:val="18"/>
              </w:rPr>
              <w:t xml:space="preserve">newman-reports</w:t>
            </w:r>
            <w:r>
              <w:rPr>
                <w:sz w:val="18"/>
                <w:szCs w:val="18"/>
              </w:rPr>
              <w:t xml:space="preserve"> of CI run 38493807232: 193 requests / 933 assertions / 0 failed and 15 / 87 / 0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(73 read-only requests); run with </w:t>
            </w:r>
            <w:r>
              <w:rPr>
                <w:rFonts w:ascii="Consolas" w:cs="Consolas" w:eastAsia="Consolas" w:hAnsi="Consolas"/>
                <w:sz w:val="18"/>
                <w:szCs w:val="18"/>
              </w:rPr>
              <w:t xml:space="preserve">-e production.postman_environment.json</w:t>
            </w:r>
            <w:r>
              <w:rPr>
                <w:sz w:val="18"/>
                <w:szCs w:val="18"/>
              </w:rPr>
              <w:t xml:space="preserve"> on 16 Oct 2026: 73 / 389 / 0, 18.4 s, average response 170 ms (report </w:t>
            </w:r>
            <w:r>
              <w:rPr>
                <w:rFonts w:ascii="Consolas" w:cs="Consolas" w:eastAsia="Consolas" w:hAnsi="Consolas"/>
                <w:sz w:val="18"/>
                <w:szCs w:val="18"/>
              </w:rPr>
              <w:t xml:space="preserve">tests/postman/reports/production-smoke-2026-10-16.html</w:t>
            </w:r>
            <w:r>
              <w:rPr>
                <w:sz w:val="18"/>
                <w:szCs w:val="18"/>
              </w:rPr>
              <w:t xml:space="preserve">,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8.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one administrator, demo candidate/employer accounts (passwords from </w:t>
      </w:r>
      <w:r>
        <w:rPr>
          <w:rFonts w:ascii="Consolas" w:cs="Consolas" w:eastAsia="Consolas" w:hAnsi="Consolas"/>
        </w:rPr>
        <w:t xml:space="preserve">DEMO_PASSWORD</w:t>
      </w:r>
      <w:r>
        <w:t xml:space="preserve">),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reviewed_at, cover_note, interview_request, hired_at, feedback_reminded_at, hire_confirmed_by,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w:t>
            </w:r>
            <w:r>
              <w:rPr>
                <w:rFonts w:ascii="Consolas" w:cs="Consolas" w:eastAsia="Consolas" w:hAnsi="Consolas"/>
                <w:sz w:val="16"/>
                <w:szCs w:val="16"/>
              </w:rPr>
              <w:t xml:space="preserve">reviewed_at</w:t>
            </w:r>
            <w:r>
              <w:rPr>
                <w:sz w:val="16"/>
                <w:szCs w:val="16"/>
              </w:rPr>
              <w:t xml:space="preserve">/</w:t>
            </w:r>
            <w:r>
              <w:rPr>
                <w:rFonts w:ascii="Consolas" w:cs="Consolas" w:eastAsia="Consolas" w:hAnsi="Consolas"/>
                <w:sz w:val="16"/>
                <w:szCs w:val="16"/>
              </w:rPr>
              <w:t xml:space="preserve">hired_at</w:t>
            </w:r>
            <w:r>
              <w:rPr>
                <w:sz w:val="16"/>
                <w:szCs w:val="16"/>
              </w:rPr>
              <w:t xml:space="preserve"> date the status timeline;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6800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86500" cy="6800850"/>
                    </a:xfrm>
                    <a:prstGeom prst="rect">
                      <a:avLst/>
                    </a:prstGeom>
                  </pic:spPr>
                </pic:pic>
              </a:graphicData>
            </a:graphic>
          </wp:inline>
        </w:drawing>
      </w:r>
    </w:p>
    <w:p>
      <w:pPr>
        <w:spacing w:after="160"/>
        <w:jc w:val="center"/>
      </w:pPr>
      <w:r>
        <w:rPr>
          <w:i/>
          <w:iCs/>
          <w:sz w:val="18"/>
          <w:szCs w:val="18"/>
        </w:rPr>
        <w:t xml:space="preserve">Figure 9.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e685cdd691164abb94f296b491f29b24e2991b2.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4bdb5ea0c6b66165bf7996ddf26fd3325a3a9202.png"/><Relationship Id="rId13" Type="http://schemas.openxmlformats.org/officeDocument/2006/relationships/image" Target="media/5f7174db4fcab6dcd13c2e2628d9a8d1bc0a71e3.png"/><Relationship Id="rId14" Type="http://schemas.openxmlformats.org/officeDocument/2006/relationships/image" Target="media/d0f654ce465950c336ce0a43bc02c3971b9f5202.png"/><Relationship Id="rId15" Type="http://schemas.openxmlformats.org/officeDocument/2006/relationships/image" Target="media/ce86566d3597b678b25b505dedd4e7e3ab17ddd6.jpg"/><Relationship Id="rId16" Type="http://schemas.openxmlformats.org/officeDocument/2006/relationships/image" Target="media/93592599f743cb5aaed586c1d9ae121afbe4fc7b.jpg"/><Relationship Id="rId17" Type="http://schemas.openxmlformats.org/officeDocument/2006/relationships/image" Target="media/271110152a965af8c5043355375fc505ee0f18fd.jpg"/><Relationship Id="rId18" Type="http://schemas.openxmlformats.org/officeDocument/2006/relationships/image" Target="media/16bbf4e277e1926d46d88e2b5a32745aedc6bb92.jpg"/><Relationship Id="rId19" Type="http://schemas.openxmlformats.org/officeDocument/2006/relationships/image" Target="media/bd6ac39cfe63968fae827d36a584dbeb5b82025c.jpg"/><Relationship Id="rId20" Type="http://schemas.openxmlformats.org/officeDocument/2006/relationships/image" Target="media/5d36958264e85cddfae4011ca77cdde1e0e90d51.jpg"/><Relationship Id="rId21" Type="http://schemas.openxmlformats.org/officeDocument/2006/relationships/image" Target="media/5551444285a3c228d419cb5ed1c06bd5e332632a.jpg"/><Relationship Id="rId22" Type="http://schemas.openxmlformats.org/officeDocument/2006/relationships/image" Target="media/a03211a3e0d570f83782978760a0d66426f1b521.jpg"/><Relationship Id="rId23" Type="http://schemas.openxmlformats.org/officeDocument/2006/relationships/image" Target="media/289dba4fcec49f373f0b759cab32688126628a7b.jpg"/><Relationship Id="rId24" Type="http://schemas.openxmlformats.org/officeDocument/2006/relationships/image" Target="media/07e2c2c4f636bd042907628b51aefc719d81b32b.jpg"/><Relationship Id="rId25" Type="http://schemas.openxmlformats.org/officeDocument/2006/relationships/image" Target="media/371fc32473fdce10ee4faa5c5253e93efc0a5acd.jpg"/><Relationship Id="rId26" Type="http://schemas.openxmlformats.org/officeDocument/2006/relationships/image" Target="media/c2da5300838d88ccafd617de442787dd8703bde7.jpg"/><Relationship Id="rId27" Type="http://schemas.openxmlformats.org/officeDocument/2006/relationships/image" Target="media/15099006588a2dcd8dbd320add20ac1bd223041b.png"/><Relationship Id="rId28" Type="http://schemas.openxmlformats.org/officeDocument/2006/relationships/image" Target="media/5bad762e87341d454844f7cd42596cac2cb12d55.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2026-10-15T17:33:26.546Z</dcterms:created>
  <dcterms:modified xsi:type="dcterms:W3CDTF">2026-10-15T17:33:26.547Z</dcterms:modified>
</cp:coreProperties>
</file>

<file path=docProps/custom.xml><?xml version="1.0" encoding="utf-8"?>
<Properties xmlns="http://schemas.openxmlformats.org/officeDocument/2006/custom-properties" xmlns:vt="http://schemas.openxmlformats.org/officeDocument/2006/docPropsVTypes"/>
</file>