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2575" w14:textId="77777777" w:rsidR="009F57BB" w:rsidRDefault="009F57BB" w:rsidP="009F57BB">
      <w:pPr>
        <w:spacing w:after="120" w:line="360" w:lineRule="auto"/>
        <w:jc w:val="center"/>
        <w:outlineLvl w:val="0"/>
        <w:rPr>
          <w:rFonts w:ascii="Arial" w:eastAsia="Times New Roman" w:hAnsi="Arial" w:cs="Arial"/>
          <w:b/>
          <w:bCs/>
          <w:color w:val="000000"/>
          <w:kern w:val="36"/>
          <w:sz w:val="46"/>
          <w:szCs w:val="46"/>
          <w14:ligatures w14:val="none"/>
        </w:rPr>
      </w:pPr>
      <w:r w:rsidRPr="009F57BB">
        <w:rPr>
          <w:rFonts w:ascii="Arial" w:eastAsia="Times New Roman" w:hAnsi="Arial" w:cs="Arial"/>
          <w:b/>
          <w:bCs/>
          <w:color w:val="000000"/>
          <w:kern w:val="36"/>
          <w:sz w:val="46"/>
          <w:szCs w:val="46"/>
          <w14:ligatures w14:val="none"/>
        </w:rPr>
        <w:t>CHAPTER THREE: METHODOLOGY AND SYSTEM ARCHITECTURE</w:t>
      </w:r>
    </w:p>
    <w:p w14:paraId="4371605D" w14:textId="77777777" w:rsidR="009F57BB" w:rsidRPr="009F57BB" w:rsidRDefault="009F57BB" w:rsidP="009F57BB">
      <w:pPr>
        <w:spacing w:after="120" w:line="360" w:lineRule="auto"/>
        <w:jc w:val="center"/>
        <w:outlineLvl w:val="0"/>
        <w:rPr>
          <w:rFonts w:ascii="Times New Roman" w:eastAsia="Times New Roman" w:hAnsi="Times New Roman" w:cs="Times New Roman"/>
          <w:b/>
          <w:bCs/>
          <w:kern w:val="36"/>
          <w:sz w:val="48"/>
          <w:szCs w:val="48"/>
          <w14:ligatures w14:val="none"/>
        </w:rPr>
      </w:pPr>
    </w:p>
    <w:p w14:paraId="353BCD93" w14:textId="77777777" w:rsidR="009F57BB" w:rsidRPr="009F57BB" w:rsidRDefault="009F57BB" w:rsidP="009F57BB">
      <w:pPr>
        <w:spacing w:after="80" w:line="360" w:lineRule="auto"/>
        <w:jc w:val="both"/>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t>3.1 Introduction</w:t>
      </w:r>
    </w:p>
    <w:p w14:paraId="524A5299" w14:textId="698202A0"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 xml:space="preserve">This chapter presents the comprehensive methodology and theoretical framework underpinning the novel IoT-enabled Power Line Communication (PLC) architecture for real-time electrical distribution network monitoring. Addressing critical research gaps in smart grid </w:t>
      </w:r>
      <w:proofErr w:type="spellStart"/>
      <w:r w:rsidRPr="009F57BB">
        <w:rPr>
          <w:rFonts w:ascii="Arial" w:eastAsia="Times New Roman" w:hAnsi="Arial" w:cs="Arial"/>
          <w:color w:val="000000"/>
          <w:kern w:val="0"/>
          <w:sz w:val="22"/>
          <w:szCs w:val="22"/>
          <w14:ligatures w14:val="none"/>
        </w:rPr>
        <w:t>telemetryspecifically</w:t>
      </w:r>
      <w:proofErr w:type="spellEnd"/>
      <w:r w:rsidRPr="009F57BB">
        <w:rPr>
          <w:rFonts w:ascii="Arial" w:eastAsia="Times New Roman" w:hAnsi="Arial" w:cs="Arial"/>
          <w:color w:val="000000"/>
          <w:kern w:val="0"/>
          <w:sz w:val="22"/>
          <w:szCs w:val="22"/>
          <w14:ligatures w14:val="none"/>
        </w:rPr>
        <w:t xml:space="preserve"> the trade-offs between transmission latency, data fidelity, and computational </w:t>
      </w:r>
      <w:proofErr w:type="spellStart"/>
      <w:r w:rsidRPr="009F57BB">
        <w:rPr>
          <w:rFonts w:ascii="Arial" w:eastAsia="Times New Roman" w:hAnsi="Arial" w:cs="Arial"/>
          <w:color w:val="000000"/>
          <w:kern w:val="0"/>
          <w:sz w:val="22"/>
          <w:szCs w:val="22"/>
          <w14:ligatures w14:val="none"/>
        </w:rPr>
        <w:t>overheadthis</w:t>
      </w:r>
      <w:proofErr w:type="spellEnd"/>
      <w:r w:rsidRPr="009F57BB">
        <w:rPr>
          <w:rFonts w:ascii="Arial" w:eastAsia="Times New Roman" w:hAnsi="Arial" w:cs="Arial"/>
          <w:color w:val="000000"/>
          <w:kern w:val="0"/>
          <w:sz w:val="22"/>
          <w:szCs w:val="22"/>
          <w14:ligatures w14:val="none"/>
        </w:rPr>
        <w:t xml:space="preserve"> research proposes a hybrid, multi-tier framework. The methodology encompasses the mathematical modeling of the physical grid transients, the design of a discrete telecommunications pipeline via noisy channels, edge-processing integration, and the deployment of a machine learning-based anomaly classification engine. The system’s efficacy is rigorously modeled, simulated, and validated within the MATLAB/Simulink environment, establishing a robust paradigm for autonomous grid resilience.</w:t>
      </w:r>
    </w:p>
    <w:p w14:paraId="084F9B64" w14:textId="77777777" w:rsidR="009F57BB" w:rsidRPr="009F57BB" w:rsidRDefault="009F57BB" w:rsidP="009F57BB">
      <w:pPr>
        <w:spacing w:after="80" w:line="360" w:lineRule="auto"/>
        <w:jc w:val="both"/>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t>3.2 Proposed Novel System Architecture</w:t>
      </w:r>
    </w:p>
    <w:p w14:paraId="7108FCB4" w14:textId="77777777"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To overcome the latency and reliability bottlenecks identified in existing smart grid monitoring paradigms, a novel multi-tier architecture was formulated. This framework is characterized by its edge-cloud synergy and deterministic data routing, structured into three interacting layers:</w:t>
      </w:r>
    </w:p>
    <w:p w14:paraId="00D37A22" w14:textId="77777777" w:rsidR="009F57BB" w:rsidRPr="009F57BB" w:rsidRDefault="009F57BB" w:rsidP="009F57BB">
      <w:pPr>
        <w:numPr>
          <w:ilvl w:val="0"/>
          <w:numId w:val="7"/>
        </w:numPr>
        <w:spacing w:after="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The Physical and Acquisition Layer:</w:t>
      </w:r>
      <w:r w:rsidRPr="009F57BB">
        <w:rPr>
          <w:rFonts w:ascii="Arial" w:eastAsia="Times New Roman" w:hAnsi="Arial" w:cs="Arial"/>
          <w:color w:val="000000"/>
          <w:kern w:val="0"/>
          <w:sz w:val="22"/>
          <w:szCs w:val="22"/>
          <w14:ligatures w14:val="none"/>
        </w:rPr>
        <w:t xml:space="preserve"> A continuous-time transient modeling of the AC power source, dynamic transmission line impedances, fault-induction logic, and high-fidelity distributed IoT sensor nodes.</w:t>
      </w:r>
    </w:p>
    <w:p w14:paraId="4C011DD4" w14:textId="77777777" w:rsidR="009F57BB" w:rsidRPr="009F57BB" w:rsidRDefault="009F57BB" w:rsidP="009F57BB">
      <w:pPr>
        <w:numPr>
          <w:ilvl w:val="0"/>
          <w:numId w:val="7"/>
        </w:numPr>
        <w:spacing w:after="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The Edge-Communication Layer:</w:t>
      </w:r>
      <w:r w:rsidRPr="009F57BB">
        <w:rPr>
          <w:rFonts w:ascii="Arial" w:eastAsia="Times New Roman" w:hAnsi="Arial" w:cs="Arial"/>
          <w:color w:val="000000"/>
          <w:kern w:val="0"/>
          <w:sz w:val="22"/>
          <w:szCs w:val="22"/>
          <w14:ligatures w14:val="none"/>
        </w:rPr>
        <w:t xml:space="preserve"> An edge-computing paradigm utilizing localized microcontrollers (ESP32) for immediate signal processing, interfaced with a BPSK-modulated Power Line Communication (PLC) subsystem operating across an Additive White Gaussian Noise (AWGN) channel.</w:t>
      </w:r>
    </w:p>
    <w:p w14:paraId="61E21FB0" w14:textId="77777777" w:rsidR="009F57BB" w:rsidRPr="009F57BB" w:rsidRDefault="009F57BB" w:rsidP="009F57BB">
      <w:pPr>
        <w:numPr>
          <w:ilvl w:val="0"/>
          <w:numId w:val="7"/>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The Cloud-Analytics and Machine Learning Layer:</w:t>
      </w:r>
      <w:r w:rsidRPr="009F57BB">
        <w:rPr>
          <w:rFonts w:ascii="Arial" w:eastAsia="Times New Roman" w:hAnsi="Arial" w:cs="Arial"/>
          <w:color w:val="000000"/>
          <w:kern w:val="0"/>
          <w:sz w:val="22"/>
          <w:szCs w:val="22"/>
          <w14:ligatures w14:val="none"/>
        </w:rPr>
        <w:t xml:space="preserve"> A highly scalable, MQTT-driven cloud infrastructure featuring a time-series NoSQL database, real-time visualization </w:t>
      </w:r>
      <w:r w:rsidRPr="009F57BB">
        <w:rPr>
          <w:rFonts w:ascii="Arial" w:eastAsia="Times New Roman" w:hAnsi="Arial" w:cs="Arial"/>
          <w:color w:val="000000"/>
          <w:kern w:val="0"/>
          <w:sz w:val="22"/>
          <w:szCs w:val="22"/>
          <w14:ligatures w14:val="none"/>
        </w:rPr>
        <w:lastRenderedPageBreak/>
        <w:t>dashboards, and an autonomous Random Forest ensemble algorithm for instantaneous fault classification.</w:t>
      </w:r>
    </w:p>
    <w:p w14:paraId="3AE687CB" w14:textId="77777777" w:rsidR="009F57BB" w:rsidRPr="009F57BB" w:rsidRDefault="009F57BB" w:rsidP="009F57BB">
      <w:pPr>
        <w:spacing w:after="80" w:line="360" w:lineRule="auto"/>
        <w:jc w:val="both"/>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t>3.3 High-Fidelity Grid Modeling and Transient Simulation</w:t>
      </w:r>
    </w:p>
    <w:p w14:paraId="38F43CF4" w14:textId="77777777"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 xml:space="preserve">To accurately replicate the complex thermodynamic and electrical behaviors of a standard power distribution network, a continuous-time physical model was developed utilizing </w:t>
      </w:r>
      <w:proofErr w:type="spellStart"/>
      <w:r w:rsidRPr="009F57BB">
        <w:rPr>
          <w:rFonts w:ascii="Arial" w:eastAsia="Times New Roman" w:hAnsi="Arial" w:cs="Arial"/>
          <w:color w:val="000000"/>
          <w:kern w:val="0"/>
          <w:sz w:val="22"/>
          <w:szCs w:val="22"/>
          <w14:ligatures w14:val="none"/>
        </w:rPr>
        <w:t>Simscape</w:t>
      </w:r>
      <w:proofErr w:type="spellEnd"/>
      <w:r w:rsidRPr="009F57BB">
        <w:rPr>
          <w:rFonts w:ascii="Arial" w:eastAsia="Times New Roman" w:hAnsi="Arial" w:cs="Arial"/>
          <w:color w:val="000000"/>
          <w:kern w:val="0"/>
          <w:sz w:val="22"/>
          <w:szCs w:val="22"/>
          <w14:ligatures w14:val="none"/>
        </w:rPr>
        <w:t xml:space="preserve"> Electrical component libraries.</w:t>
      </w:r>
    </w:p>
    <w:p w14:paraId="0CD33E0D" w14:textId="77777777" w:rsidR="009F57BB" w:rsidRPr="009F57BB" w:rsidRDefault="009F57BB" w:rsidP="009F57BB">
      <w:pPr>
        <w:numPr>
          <w:ilvl w:val="0"/>
          <w:numId w:val="8"/>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Transient Power Generation and Transmission Modeling:</w:t>
      </w:r>
      <w:r w:rsidRPr="009F57BB">
        <w:rPr>
          <w:rFonts w:ascii="Arial" w:eastAsia="Times New Roman" w:hAnsi="Arial" w:cs="Arial"/>
          <w:color w:val="000000"/>
          <w:kern w:val="0"/>
          <w:sz w:val="22"/>
          <w:szCs w:val="22"/>
          <w14:ligatures w14:val="none"/>
        </w:rPr>
        <w:t xml:space="preserve"> The grid's origin is defined by an AC Voltage Source generating a 230 V RMS (≈ 325 V peak) sinusoidal waveform at a fundamental frequency of 50 Hz. To mathematically simulate the transmission line losses and signal degradation over a 5.0 km distribution radius, a complex impedance matrix was modeled, incorporating series inductive and resistive components (approximately 99 Ω cumulative resistance) to reflect realistic copper cabling physics.</w:t>
      </w:r>
    </w:p>
    <w:p w14:paraId="1F00314C" w14:textId="77777777" w:rsidR="009F57BB" w:rsidRPr="009F57BB" w:rsidRDefault="009F57BB" w:rsidP="009F57BB">
      <w:pPr>
        <w:spacing w:after="0" w:line="360" w:lineRule="auto"/>
        <w:jc w:val="both"/>
        <w:rPr>
          <w:rFonts w:ascii="Times New Roman" w:eastAsia="Times New Roman" w:hAnsi="Times New Roman" w:cs="Times New Roman"/>
          <w:kern w:val="0"/>
          <w14:ligatures w14:val="none"/>
        </w:rPr>
      </w:pPr>
      <w:r w:rsidRPr="009F57BB">
        <w:rPr>
          <w:rFonts w:ascii="Times New Roman" w:eastAsia="Times New Roman" w:hAnsi="Times New Roman" w:cs="Times New Roman"/>
          <w:kern w:val="0"/>
          <w14:ligatures w14:val="none"/>
        </w:rPr>
        <w:br/>
      </w:r>
    </w:p>
    <w:p w14:paraId="656FE967" w14:textId="77777777" w:rsidR="009F57BB" w:rsidRPr="009F57BB" w:rsidRDefault="009F57BB" w:rsidP="009F57BB">
      <w:pPr>
        <w:numPr>
          <w:ilvl w:val="0"/>
          <w:numId w:val="9"/>
        </w:numPr>
        <w:spacing w:after="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Baseline State and Load Dynamics:</w:t>
      </w:r>
      <w:r w:rsidRPr="009F57BB">
        <w:rPr>
          <w:rFonts w:ascii="Arial" w:eastAsia="Times New Roman" w:hAnsi="Arial" w:cs="Arial"/>
          <w:color w:val="000000"/>
          <w:kern w:val="0"/>
          <w:sz w:val="22"/>
          <w:szCs w:val="22"/>
          <w14:ligatures w14:val="none"/>
        </w:rPr>
        <w:t xml:space="preserve"> Under nominal operating parameters, the distribution network powers a baseline load, modeled as a parallel 100 Ω resistor and 0.001 F capacitor, establishing a stable, continuous state draw of approximately 0.09 A.</w:t>
      </w:r>
    </w:p>
    <w:p w14:paraId="115A087C" w14:textId="77777777" w:rsidR="009F57BB" w:rsidRPr="009F57BB" w:rsidRDefault="009F57BB" w:rsidP="009F57BB">
      <w:pPr>
        <w:numPr>
          <w:ilvl w:val="0"/>
          <w:numId w:val="9"/>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Controlled Anomaly Induction Mechanism:</w:t>
      </w:r>
      <w:r w:rsidRPr="009F57BB">
        <w:rPr>
          <w:rFonts w:ascii="Arial" w:eastAsia="Times New Roman" w:hAnsi="Arial" w:cs="Arial"/>
          <w:color w:val="000000"/>
          <w:kern w:val="0"/>
          <w:sz w:val="22"/>
          <w:szCs w:val="22"/>
          <w14:ligatures w14:val="none"/>
        </w:rPr>
        <w:t xml:space="preserve"> To rigorously evaluate the system's transient response and the anomaly detection algorithm's latency, a short-circuit fault was mathematically engineered. A mathematically controlled Step block, actuating a logical Switch at exactly t = 5.0 s within a 10.0 s temporal window, introduces a severe grid failure. This forces total system impedance to collapse to 100 Ω via a 1 Ω bypass resistor, inducing an instantaneous fault current surge peaking at 3.25 A and generating a corresponding transmission line voltage sag.</w:t>
      </w:r>
    </w:p>
    <w:p w14:paraId="46043E62" w14:textId="77777777" w:rsidR="009F57BB" w:rsidRPr="009F57BB" w:rsidRDefault="009F57BB" w:rsidP="009F57BB">
      <w:pPr>
        <w:spacing w:after="80" w:line="360" w:lineRule="auto"/>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t>3.4 Power Line Communication (PLC) Channel Characterization</w:t>
      </w:r>
    </w:p>
    <w:p w14:paraId="2BDA1E6E" w14:textId="77777777"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Bridging the continuous-time physical domain and the discrete-time digital monitoring architecture required the development of a highly robust telecommunications pipeline capable of operating in high-attenuation environments.</w:t>
      </w:r>
    </w:p>
    <w:p w14:paraId="69CE19DB" w14:textId="77777777" w:rsidR="009F57BB" w:rsidRPr="009F57BB" w:rsidRDefault="009F57BB" w:rsidP="009F57BB">
      <w:pPr>
        <w:numPr>
          <w:ilvl w:val="0"/>
          <w:numId w:val="10"/>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lastRenderedPageBreak/>
        <w:t>Signal Discretization and Pre-Processing:</w:t>
      </w:r>
      <w:r w:rsidRPr="009F57BB">
        <w:rPr>
          <w:rFonts w:ascii="Arial" w:eastAsia="Times New Roman" w:hAnsi="Arial" w:cs="Arial"/>
          <w:color w:val="000000"/>
          <w:kern w:val="0"/>
          <w:sz w:val="22"/>
          <w:szCs w:val="22"/>
          <w14:ligatures w14:val="none"/>
        </w:rPr>
        <w:t xml:space="preserve"> Continuous analog voltage (</w:t>
      </w:r>
      <w:proofErr w:type="spellStart"/>
      <w:r w:rsidRPr="009F57BB">
        <w:rPr>
          <w:rFonts w:ascii="Arial" w:eastAsia="Times New Roman" w:hAnsi="Arial" w:cs="Arial"/>
          <w:color w:val="000000"/>
          <w:kern w:val="0"/>
          <w:sz w:val="22"/>
          <w:szCs w:val="22"/>
          <w14:ligatures w14:val="none"/>
        </w:rPr>
        <w:t>Vrms</w:t>
      </w:r>
      <w:proofErr w:type="spellEnd"/>
      <w:r w:rsidRPr="009F57BB">
        <w:rPr>
          <w:rFonts w:ascii="Arial" w:eastAsia="Times New Roman" w:hAnsi="Arial" w:cs="Arial"/>
          <w:color w:val="000000"/>
          <w:kern w:val="0"/>
          <w:sz w:val="22"/>
          <w:szCs w:val="22"/>
          <w14:ligatures w14:val="none"/>
        </w:rPr>
        <w:t>) and current (</w:t>
      </w:r>
      <w:proofErr w:type="spellStart"/>
      <w:r w:rsidRPr="009F57BB">
        <w:rPr>
          <w:rFonts w:ascii="Arial" w:eastAsia="Times New Roman" w:hAnsi="Arial" w:cs="Arial"/>
          <w:color w:val="000000"/>
          <w:kern w:val="0"/>
          <w:sz w:val="22"/>
          <w:szCs w:val="22"/>
          <w14:ligatures w14:val="none"/>
        </w:rPr>
        <w:t>Irms</w:t>
      </w:r>
      <w:proofErr w:type="spellEnd"/>
      <w:r w:rsidRPr="009F57BB">
        <w:rPr>
          <w:rFonts w:ascii="Arial" w:eastAsia="Times New Roman" w:hAnsi="Arial" w:cs="Arial"/>
          <w:color w:val="000000"/>
          <w:kern w:val="0"/>
          <w:sz w:val="22"/>
          <w:szCs w:val="22"/>
          <w14:ligatures w14:val="none"/>
        </w:rPr>
        <w:t>) parameters are processed through a Zero-Order Hold (ZOH) block, functioning as an Analog-to-Digital Converter (ADC). The system utilizes a discrete sampling interval of 0.01 s (100 Hz), formatting the resultant data into 8-bit unsigned integers (</w:t>
      </w:r>
      <w:r w:rsidRPr="009F57BB">
        <w:rPr>
          <w:rFonts w:ascii="Arial" w:eastAsia="Times New Roman" w:hAnsi="Arial" w:cs="Arial"/>
          <w:color w:val="188038"/>
          <w:kern w:val="0"/>
          <w:sz w:val="22"/>
          <w:szCs w:val="22"/>
          <w14:ligatures w14:val="none"/>
        </w:rPr>
        <w:t>uint8</w:t>
      </w:r>
      <w:r w:rsidRPr="009F57BB">
        <w:rPr>
          <w:rFonts w:ascii="Arial" w:eastAsia="Times New Roman" w:hAnsi="Arial" w:cs="Arial"/>
          <w:color w:val="000000"/>
          <w:kern w:val="0"/>
          <w:sz w:val="22"/>
          <w:szCs w:val="22"/>
          <w14:ligatures w14:val="none"/>
        </w:rPr>
        <w:t>) to optimize payload size.</w:t>
      </w:r>
    </w:p>
    <w:p w14:paraId="22C2D3BB" w14:textId="77777777" w:rsidR="009F57BB" w:rsidRPr="009F57BB" w:rsidRDefault="009F57BB" w:rsidP="009F57BB">
      <w:pPr>
        <w:spacing w:after="0" w:line="360" w:lineRule="auto"/>
        <w:jc w:val="both"/>
        <w:rPr>
          <w:rFonts w:ascii="Times New Roman" w:eastAsia="Times New Roman" w:hAnsi="Times New Roman" w:cs="Times New Roman"/>
          <w:kern w:val="0"/>
          <w14:ligatures w14:val="none"/>
        </w:rPr>
      </w:pPr>
      <w:r w:rsidRPr="009F57BB">
        <w:rPr>
          <w:rFonts w:ascii="Times New Roman" w:eastAsia="Times New Roman" w:hAnsi="Times New Roman" w:cs="Times New Roman"/>
          <w:kern w:val="0"/>
          <w14:ligatures w14:val="none"/>
        </w:rPr>
        <w:br/>
      </w:r>
    </w:p>
    <w:p w14:paraId="2741795D" w14:textId="77777777" w:rsidR="009F57BB" w:rsidRPr="009F57BB" w:rsidRDefault="009F57BB" w:rsidP="009F57BB">
      <w:pPr>
        <w:numPr>
          <w:ilvl w:val="0"/>
          <w:numId w:val="11"/>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Modulation Scheme and Channel Interference:</w:t>
      </w:r>
      <w:r w:rsidRPr="009F57BB">
        <w:rPr>
          <w:rFonts w:ascii="Arial" w:eastAsia="Times New Roman" w:hAnsi="Arial" w:cs="Arial"/>
          <w:color w:val="000000"/>
          <w:kern w:val="0"/>
          <w:sz w:val="22"/>
          <w:szCs w:val="22"/>
          <w14:ligatures w14:val="none"/>
        </w:rPr>
        <w:t xml:space="preserve"> To guarantee data integrity across the hostile physical medium of power lines, Binary Phase Shift Keying (BPSK) modulation was implemented. The transmission medium was mathematically modeled using an Additive White Gaussian Noise (AWGN) channel. The Signal-to-Noise Ratio (SNR) was treated as an independent variable (swept from 0 dB to 20 dB) to conduct a comprehensive Bit Error Rate (BER) and throughput degradation analysis, ensuring the pipeline's resilience against grid-induced harmonic distortion.</w:t>
      </w:r>
    </w:p>
    <w:p w14:paraId="15D9A2C1" w14:textId="77777777" w:rsidR="009F57BB" w:rsidRPr="009F57BB" w:rsidRDefault="009F57BB" w:rsidP="009F57BB">
      <w:pPr>
        <w:spacing w:after="80" w:line="360" w:lineRule="auto"/>
        <w:jc w:val="both"/>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t>3.5 Edge Computing and IoT Sensor Integration</w:t>
      </w:r>
    </w:p>
    <w:p w14:paraId="594581E8" w14:textId="77777777"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To resolve the latency issues inherent in centralized cloud-processing models, this framework introduces a distributed edge-computing paradigm at the sensor level.</w:t>
      </w:r>
    </w:p>
    <w:p w14:paraId="3356694C" w14:textId="4B48E78E" w:rsidR="009F57BB" w:rsidRPr="009F57BB" w:rsidRDefault="009F57BB" w:rsidP="009F57BB">
      <w:pPr>
        <w:numPr>
          <w:ilvl w:val="0"/>
          <w:numId w:val="12"/>
        </w:numPr>
        <w:spacing w:after="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Instrumentation and Acquisition:</w:t>
      </w:r>
      <w:r w:rsidRPr="009F57BB">
        <w:rPr>
          <w:rFonts w:ascii="Arial" w:eastAsia="Times New Roman" w:hAnsi="Arial" w:cs="Arial"/>
          <w:color w:val="000000"/>
          <w:kern w:val="0"/>
          <w:sz w:val="22"/>
          <w:szCs w:val="22"/>
          <w14:ligatures w14:val="none"/>
        </w:rPr>
        <w:t xml:space="preserve"> The physical layer relies on precision IoT instrumentation, simulating the deployment of a ZMPT101B module for voltage tracking, an ACS712 module for current measurement, and a DS18B20 sensor for capturing I²R thermal runaways.</w:t>
      </w:r>
    </w:p>
    <w:p w14:paraId="15125A0F" w14:textId="77777777" w:rsidR="009F57BB" w:rsidRPr="009F57BB" w:rsidRDefault="009F57BB" w:rsidP="009F57BB">
      <w:pPr>
        <w:numPr>
          <w:ilvl w:val="0"/>
          <w:numId w:val="12"/>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Localized Edge Processing:</w:t>
      </w:r>
      <w:r w:rsidRPr="009F57BB">
        <w:rPr>
          <w:rFonts w:ascii="Arial" w:eastAsia="Times New Roman" w:hAnsi="Arial" w:cs="Arial"/>
          <w:color w:val="000000"/>
          <w:kern w:val="0"/>
          <w:sz w:val="22"/>
          <w:szCs w:val="22"/>
          <w14:ligatures w14:val="none"/>
        </w:rPr>
        <w:t xml:space="preserve"> The architecture replaces standard passive telemetry with an active ESP32 microcontroller edge node. Operating with an ADC sampling frequency of 1000 Hz and an execution delay of merely 1.5 </w:t>
      </w:r>
      <w:proofErr w:type="spellStart"/>
      <w:r w:rsidRPr="009F57BB">
        <w:rPr>
          <w:rFonts w:ascii="Arial" w:eastAsia="Times New Roman" w:hAnsi="Arial" w:cs="Arial"/>
          <w:color w:val="000000"/>
          <w:kern w:val="0"/>
          <w:sz w:val="22"/>
          <w:szCs w:val="22"/>
          <w14:ligatures w14:val="none"/>
        </w:rPr>
        <w:t>ms</w:t>
      </w:r>
      <w:proofErr w:type="spellEnd"/>
      <w:r w:rsidRPr="009F57BB">
        <w:rPr>
          <w:rFonts w:ascii="Arial" w:eastAsia="Times New Roman" w:hAnsi="Arial" w:cs="Arial"/>
          <w:color w:val="000000"/>
          <w:kern w:val="0"/>
          <w:sz w:val="22"/>
          <w:szCs w:val="22"/>
          <w14:ligatures w14:val="none"/>
        </w:rPr>
        <w:t>, the edge node performs localized digital signal processing. This includes real-time active power calculations and data formatting, significantly reducing the computational burden and bandwidth requirements prior to PLC transmission.</w:t>
      </w:r>
    </w:p>
    <w:p w14:paraId="506AD52C" w14:textId="77777777" w:rsidR="009F57BB" w:rsidRDefault="009F57BB" w:rsidP="009F57BB">
      <w:pPr>
        <w:spacing w:after="80" w:line="360" w:lineRule="auto"/>
        <w:jc w:val="both"/>
        <w:outlineLvl w:val="1"/>
        <w:rPr>
          <w:rFonts w:ascii="Arial" w:eastAsia="Times New Roman" w:hAnsi="Arial" w:cs="Arial"/>
          <w:b/>
          <w:bCs/>
          <w:color w:val="000000"/>
          <w:kern w:val="0"/>
          <w:sz w:val="34"/>
          <w:szCs w:val="34"/>
          <w14:ligatures w14:val="none"/>
        </w:rPr>
      </w:pPr>
    </w:p>
    <w:p w14:paraId="43BFC7D5" w14:textId="77777777" w:rsidR="009F57BB" w:rsidRDefault="009F57BB" w:rsidP="009F57BB">
      <w:pPr>
        <w:spacing w:after="80" w:line="360" w:lineRule="auto"/>
        <w:jc w:val="both"/>
        <w:outlineLvl w:val="1"/>
        <w:rPr>
          <w:rFonts w:ascii="Arial" w:eastAsia="Times New Roman" w:hAnsi="Arial" w:cs="Arial"/>
          <w:b/>
          <w:bCs/>
          <w:color w:val="000000"/>
          <w:kern w:val="0"/>
          <w:sz w:val="34"/>
          <w:szCs w:val="34"/>
          <w14:ligatures w14:val="none"/>
        </w:rPr>
      </w:pPr>
    </w:p>
    <w:p w14:paraId="7C15B5EE" w14:textId="2D80DD8A" w:rsidR="009F57BB" w:rsidRPr="009F57BB" w:rsidRDefault="009F57BB" w:rsidP="009F57BB">
      <w:pPr>
        <w:spacing w:after="80" w:line="360" w:lineRule="auto"/>
        <w:jc w:val="both"/>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lastRenderedPageBreak/>
        <w:t>3.6 Cloud Telemetry and Scalable Data Infrastructure</w:t>
      </w:r>
    </w:p>
    <w:p w14:paraId="67F16C69" w14:textId="77777777"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Following edge-level conditioning and successful PLC transmission, the data payloads are ingested into a centralized cloud architecture designed for high-availability monitoring and predictive analytics.</w:t>
      </w:r>
    </w:p>
    <w:p w14:paraId="33D8E936" w14:textId="77777777" w:rsidR="009F57BB" w:rsidRPr="009F57BB" w:rsidRDefault="009F57BB" w:rsidP="009F57BB">
      <w:pPr>
        <w:numPr>
          <w:ilvl w:val="0"/>
          <w:numId w:val="13"/>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Telemetry Protocol (MQTT):</w:t>
      </w:r>
      <w:r w:rsidRPr="009F57BB">
        <w:rPr>
          <w:rFonts w:ascii="Arial" w:eastAsia="Times New Roman" w:hAnsi="Arial" w:cs="Arial"/>
          <w:color w:val="000000"/>
          <w:kern w:val="0"/>
          <w:sz w:val="22"/>
          <w:szCs w:val="22"/>
          <w14:ligatures w14:val="none"/>
        </w:rPr>
        <w:t xml:space="preserve"> Data transmission to the cloud utilizes the lightweight Message Queuing Telemetry Transport (MQTT) protocol. Configured for a 10 Hz publishing rate, the protocol maintains a highly efficient baseline bandwidth footprint of approximately 5 kbps, optimizing wide-area network utilization.</w:t>
      </w:r>
    </w:p>
    <w:p w14:paraId="23779A21" w14:textId="77777777" w:rsidR="009F57BB" w:rsidRPr="009F57BB" w:rsidRDefault="009F57BB" w:rsidP="009F57BB">
      <w:pPr>
        <w:spacing w:after="0" w:line="360" w:lineRule="auto"/>
        <w:jc w:val="both"/>
        <w:rPr>
          <w:rFonts w:ascii="Times New Roman" w:eastAsia="Times New Roman" w:hAnsi="Times New Roman" w:cs="Times New Roman"/>
          <w:kern w:val="0"/>
          <w14:ligatures w14:val="none"/>
        </w:rPr>
      </w:pPr>
      <w:r w:rsidRPr="009F57BB">
        <w:rPr>
          <w:rFonts w:ascii="Times New Roman" w:eastAsia="Times New Roman" w:hAnsi="Times New Roman" w:cs="Times New Roman"/>
          <w:kern w:val="0"/>
          <w14:ligatures w14:val="none"/>
        </w:rPr>
        <w:br/>
      </w:r>
    </w:p>
    <w:p w14:paraId="1E935462" w14:textId="7A98C4FF" w:rsidR="009F57BB" w:rsidRPr="009F57BB" w:rsidRDefault="009F57BB" w:rsidP="009F57BB">
      <w:pPr>
        <w:numPr>
          <w:ilvl w:val="0"/>
          <w:numId w:val="14"/>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Database Architecture for Time-Series Data:</w:t>
      </w:r>
      <w:r w:rsidRPr="009F57BB">
        <w:rPr>
          <w:rFonts w:ascii="Arial" w:eastAsia="Times New Roman" w:hAnsi="Arial" w:cs="Arial"/>
          <w:color w:val="000000"/>
          <w:kern w:val="0"/>
          <w:sz w:val="22"/>
          <w:szCs w:val="22"/>
          <w14:ligatures w14:val="none"/>
        </w:rPr>
        <w:t xml:space="preserve"> A NoSQL Time-Series database was engineered to handle the continuous influx of sensor payloads. Given the specific data </w:t>
      </w:r>
      <w:proofErr w:type="spellStart"/>
      <w:r w:rsidRPr="009F57BB">
        <w:rPr>
          <w:rFonts w:ascii="Arial" w:eastAsia="Times New Roman" w:hAnsi="Arial" w:cs="Arial"/>
          <w:color w:val="000000"/>
          <w:kern w:val="0"/>
          <w:sz w:val="22"/>
          <w:szCs w:val="22"/>
          <w14:ligatures w14:val="none"/>
        </w:rPr>
        <w:t>structurecomprising</w:t>
      </w:r>
      <w:proofErr w:type="spellEnd"/>
      <w:r w:rsidRPr="009F57BB">
        <w:rPr>
          <w:rFonts w:ascii="Arial" w:eastAsia="Times New Roman" w:hAnsi="Arial" w:cs="Arial"/>
          <w:color w:val="000000"/>
          <w:kern w:val="0"/>
          <w:sz w:val="22"/>
          <w:szCs w:val="22"/>
          <w14:ligatures w14:val="none"/>
        </w:rPr>
        <w:t xml:space="preserve"> timestamps and float values at a rate of 6,000 data points per </w:t>
      </w:r>
      <w:proofErr w:type="spellStart"/>
      <w:r w:rsidRPr="009F57BB">
        <w:rPr>
          <w:rFonts w:ascii="Arial" w:eastAsia="Times New Roman" w:hAnsi="Arial" w:cs="Arial"/>
          <w:color w:val="000000"/>
          <w:kern w:val="0"/>
          <w:sz w:val="22"/>
          <w:szCs w:val="22"/>
          <w14:ligatures w14:val="none"/>
        </w:rPr>
        <w:t>minutethe</w:t>
      </w:r>
      <w:proofErr w:type="spellEnd"/>
      <w:r w:rsidRPr="009F57BB">
        <w:rPr>
          <w:rFonts w:ascii="Arial" w:eastAsia="Times New Roman" w:hAnsi="Arial" w:cs="Arial"/>
          <w:color w:val="000000"/>
          <w:kern w:val="0"/>
          <w:sz w:val="22"/>
          <w:szCs w:val="22"/>
          <w14:ligatures w14:val="none"/>
        </w:rPr>
        <w:t xml:space="preserve"> NoSQL architecture ensures optimized write-speeds and minimizes the storage footprint to an estimated 2.21 MB per node daily, ensuring enterprise-level scalability.</w:t>
      </w:r>
      <w:r w:rsidRPr="009F57BB">
        <w:rPr>
          <w:rFonts w:ascii="Times New Roman" w:eastAsia="Times New Roman" w:hAnsi="Times New Roman" w:cs="Times New Roman"/>
          <w:kern w:val="0"/>
          <w14:ligatures w14:val="none"/>
        </w:rPr>
        <w:br/>
      </w:r>
    </w:p>
    <w:p w14:paraId="1518EDD3" w14:textId="77777777" w:rsidR="009F57BB" w:rsidRPr="009F57BB" w:rsidRDefault="009F57BB" w:rsidP="009F57BB">
      <w:pPr>
        <w:numPr>
          <w:ilvl w:val="0"/>
          <w:numId w:val="15"/>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Autonomous Alert Generation:</w:t>
      </w:r>
      <w:r w:rsidRPr="009F57BB">
        <w:rPr>
          <w:rFonts w:ascii="Arial" w:eastAsia="Times New Roman" w:hAnsi="Arial" w:cs="Arial"/>
          <w:color w:val="000000"/>
          <w:kern w:val="0"/>
          <w:sz w:val="22"/>
          <w:szCs w:val="22"/>
          <w14:ligatures w14:val="none"/>
        </w:rPr>
        <w:t xml:space="preserve"> The cloud infrastructure incorporates a threshold-actuated alert system. Upon detection of fault parameters, the network dynamically allocates priority bandwidth (verified by a simulated 20 kbps spike), pushing near-instantaneous priority notifications to grid operators to drastically reduce outage response times.</w:t>
      </w:r>
    </w:p>
    <w:p w14:paraId="7868704C" w14:textId="77777777" w:rsidR="009F57BB" w:rsidRPr="009F57BB" w:rsidRDefault="009F57BB" w:rsidP="009F57BB">
      <w:pPr>
        <w:spacing w:after="80" w:line="360" w:lineRule="auto"/>
        <w:jc w:val="both"/>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t>3.7 Machine Learning Anomaly Classification Engine</w:t>
      </w:r>
    </w:p>
    <w:p w14:paraId="59A8F9BC" w14:textId="77777777"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A core contribution of this doctoral research is the integration of an autonomous, machine-learning-driven decision engine capable of replacing manual heuristic monitoring.</w:t>
      </w:r>
    </w:p>
    <w:p w14:paraId="42819151" w14:textId="77777777" w:rsidR="009F57BB" w:rsidRPr="009F57BB" w:rsidRDefault="009F57BB" w:rsidP="009F57BB">
      <w:pPr>
        <w:numPr>
          <w:ilvl w:val="0"/>
          <w:numId w:val="16"/>
        </w:numPr>
        <w:spacing w:after="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Algorithm Formulation:</w:t>
      </w:r>
      <w:r w:rsidRPr="009F57BB">
        <w:rPr>
          <w:rFonts w:ascii="Arial" w:eastAsia="Times New Roman" w:hAnsi="Arial" w:cs="Arial"/>
          <w:color w:val="000000"/>
          <w:kern w:val="0"/>
          <w:sz w:val="22"/>
          <w:szCs w:val="22"/>
          <w14:ligatures w14:val="none"/>
        </w:rPr>
        <w:t xml:space="preserve"> A Random Forest classification ensemble was selected due to its superior capability to map non-linear decision boundaries within noisy, multi-dimensional sensor data, while remaining highly resistant to overfitting.</w:t>
      </w:r>
    </w:p>
    <w:p w14:paraId="7FB0991A" w14:textId="77777777" w:rsidR="009F57BB" w:rsidRPr="009F57BB" w:rsidRDefault="009F57BB" w:rsidP="009F57BB">
      <w:pPr>
        <w:numPr>
          <w:ilvl w:val="0"/>
          <w:numId w:val="16"/>
        </w:numPr>
        <w:spacing w:after="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Ensemble Training:</w:t>
      </w:r>
      <w:r w:rsidRPr="009F57BB">
        <w:rPr>
          <w:rFonts w:ascii="Arial" w:eastAsia="Times New Roman" w:hAnsi="Arial" w:cs="Arial"/>
          <w:color w:val="000000"/>
          <w:kern w:val="0"/>
          <w:sz w:val="22"/>
          <w:szCs w:val="22"/>
          <w14:ligatures w14:val="none"/>
        </w:rPr>
        <w:t xml:space="preserve"> The predictive model was developed using MATLAB's </w:t>
      </w:r>
      <w:proofErr w:type="spellStart"/>
      <w:r w:rsidRPr="009F57BB">
        <w:rPr>
          <w:rFonts w:ascii="Arial" w:eastAsia="Times New Roman" w:hAnsi="Arial" w:cs="Arial"/>
          <w:color w:val="188038"/>
          <w:kern w:val="0"/>
          <w:sz w:val="22"/>
          <w:szCs w:val="22"/>
          <w14:ligatures w14:val="none"/>
        </w:rPr>
        <w:t>fitcensemble</w:t>
      </w:r>
      <w:proofErr w:type="spellEnd"/>
      <w:r w:rsidRPr="009F57BB">
        <w:rPr>
          <w:rFonts w:ascii="Arial" w:eastAsia="Times New Roman" w:hAnsi="Arial" w:cs="Arial"/>
          <w:color w:val="000000"/>
          <w:kern w:val="0"/>
          <w:sz w:val="22"/>
          <w:szCs w:val="22"/>
          <w14:ligatures w14:val="none"/>
        </w:rPr>
        <w:t xml:space="preserve"> function. Utilizing the Bagging (Bootstrap Aggregating) method, an ensemble of 100 </w:t>
      </w:r>
      <w:r w:rsidRPr="009F57BB">
        <w:rPr>
          <w:rFonts w:ascii="Arial" w:eastAsia="Times New Roman" w:hAnsi="Arial" w:cs="Arial"/>
          <w:color w:val="000000"/>
          <w:kern w:val="0"/>
          <w:sz w:val="22"/>
          <w:szCs w:val="22"/>
          <w14:ligatures w14:val="none"/>
        </w:rPr>
        <w:lastRenderedPageBreak/>
        <w:t xml:space="preserve">decision trees was generated. The model was trained on historical, formatted matrices containing extracted features of both healthy baseline operations (Class </w:t>
      </w:r>
      <w:r w:rsidRPr="009F57BB">
        <w:rPr>
          <w:rFonts w:ascii="Arial" w:eastAsia="Times New Roman" w:hAnsi="Arial" w:cs="Arial"/>
          <w:color w:val="188038"/>
          <w:kern w:val="0"/>
          <w:sz w:val="22"/>
          <w:szCs w:val="22"/>
          <w14:ligatures w14:val="none"/>
        </w:rPr>
        <w:t>0</w:t>
      </w:r>
      <w:r w:rsidRPr="009F57BB">
        <w:rPr>
          <w:rFonts w:ascii="Arial" w:eastAsia="Times New Roman" w:hAnsi="Arial" w:cs="Arial"/>
          <w:color w:val="000000"/>
          <w:kern w:val="0"/>
          <w:sz w:val="22"/>
          <w:szCs w:val="22"/>
          <w14:ligatures w14:val="none"/>
        </w:rPr>
        <w:t xml:space="preserve">) and simulated short-circuit transient states (Class </w:t>
      </w:r>
      <w:r w:rsidRPr="009F57BB">
        <w:rPr>
          <w:rFonts w:ascii="Arial" w:eastAsia="Times New Roman" w:hAnsi="Arial" w:cs="Arial"/>
          <w:color w:val="188038"/>
          <w:kern w:val="0"/>
          <w:sz w:val="22"/>
          <w:szCs w:val="22"/>
          <w14:ligatures w14:val="none"/>
        </w:rPr>
        <w:t>1</w:t>
      </w:r>
      <w:r w:rsidRPr="009F57BB">
        <w:rPr>
          <w:rFonts w:ascii="Arial" w:eastAsia="Times New Roman" w:hAnsi="Arial" w:cs="Arial"/>
          <w:color w:val="000000"/>
          <w:kern w:val="0"/>
          <w:sz w:val="22"/>
          <w:szCs w:val="22"/>
          <w14:ligatures w14:val="none"/>
        </w:rPr>
        <w:t>).</w:t>
      </w:r>
    </w:p>
    <w:p w14:paraId="34EE81FE" w14:textId="77777777" w:rsidR="009F57BB" w:rsidRPr="009F57BB" w:rsidRDefault="009F57BB" w:rsidP="009F57BB">
      <w:pPr>
        <w:numPr>
          <w:ilvl w:val="0"/>
          <w:numId w:val="16"/>
        </w:numPr>
        <w:spacing w:after="240" w:line="360" w:lineRule="auto"/>
        <w:jc w:val="both"/>
        <w:textAlignment w:val="baseline"/>
        <w:rPr>
          <w:rFonts w:ascii="Arial" w:eastAsia="Times New Roman" w:hAnsi="Arial" w:cs="Arial"/>
          <w:color w:val="000000"/>
          <w:kern w:val="0"/>
          <w:sz w:val="22"/>
          <w:szCs w:val="22"/>
          <w14:ligatures w14:val="none"/>
        </w:rPr>
      </w:pPr>
      <w:r w:rsidRPr="009F57BB">
        <w:rPr>
          <w:rFonts w:ascii="Arial" w:eastAsia="Times New Roman" w:hAnsi="Arial" w:cs="Arial"/>
          <w:b/>
          <w:bCs/>
          <w:color w:val="000000"/>
          <w:kern w:val="0"/>
          <w:sz w:val="22"/>
          <w:szCs w:val="22"/>
          <w14:ligatures w14:val="none"/>
        </w:rPr>
        <w:t>Real-Time Deployment and Inference:</w:t>
      </w:r>
      <w:r w:rsidRPr="009F57BB">
        <w:rPr>
          <w:rFonts w:ascii="Arial" w:eastAsia="Times New Roman" w:hAnsi="Arial" w:cs="Arial"/>
          <w:color w:val="000000"/>
          <w:kern w:val="0"/>
          <w:sz w:val="22"/>
          <w:szCs w:val="22"/>
          <w14:ligatures w14:val="none"/>
        </w:rPr>
        <w:t xml:space="preserve"> The fully trained algorithm was embedded into the real-time continuous simulation via a </w:t>
      </w:r>
      <w:proofErr w:type="spellStart"/>
      <w:r w:rsidRPr="009F57BB">
        <w:rPr>
          <w:rFonts w:ascii="Arial" w:eastAsia="Times New Roman" w:hAnsi="Arial" w:cs="Arial"/>
          <w:color w:val="188038"/>
          <w:kern w:val="0"/>
          <w:sz w:val="22"/>
          <w:szCs w:val="22"/>
          <w14:ligatures w14:val="none"/>
        </w:rPr>
        <w:t>ClassificationEnsemble</w:t>
      </w:r>
      <w:proofErr w:type="spellEnd"/>
      <w:r w:rsidRPr="009F57BB">
        <w:rPr>
          <w:rFonts w:ascii="Arial" w:eastAsia="Times New Roman" w:hAnsi="Arial" w:cs="Arial"/>
          <w:color w:val="188038"/>
          <w:kern w:val="0"/>
          <w:sz w:val="22"/>
          <w:szCs w:val="22"/>
          <w14:ligatures w14:val="none"/>
        </w:rPr>
        <w:t xml:space="preserve"> Predict</w:t>
      </w:r>
      <w:r w:rsidRPr="009F57BB">
        <w:rPr>
          <w:rFonts w:ascii="Arial" w:eastAsia="Times New Roman" w:hAnsi="Arial" w:cs="Arial"/>
          <w:color w:val="000000"/>
          <w:kern w:val="0"/>
          <w:sz w:val="22"/>
          <w:szCs w:val="22"/>
          <w14:ligatures w14:val="none"/>
        </w:rPr>
        <w:t xml:space="preserve"> block. Interfaced with the demodulated </w:t>
      </w:r>
      <w:proofErr w:type="spellStart"/>
      <w:r w:rsidRPr="009F57BB">
        <w:rPr>
          <w:rFonts w:ascii="Arial" w:eastAsia="Times New Roman" w:hAnsi="Arial" w:cs="Arial"/>
          <w:color w:val="000000"/>
          <w:kern w:val="0"/>
          <w:sz w:val="22"/>
          <w:szCs w:val="22"/>
          <w14:ligatures w14:val="none"/>
        </w:rPr>
        <w:t>Vrms</w:t>
      </w:r>
      <w:proofErr w:type="spellEnd"/>
      <w:r w:rsidRPr="009F57BB">
        <w:rPr>
          <w:rFonts w:ascii="Arial" w:eastAsia="Times New Roman" w:hAnsi="Arial" w:cs="Arial"/>
          <w:color w:val="000000"/>
          <w:kern w:val="0"/>
          <w:sz w:val="22"/>
          <w:szCs w:val="22"/>
          <w14:ligatures w14:val="none"/>
        </w:rPr>
        <w:t xml:space="preserve"> and </w:t>
      </w:r>
      <w:proofErr w:type="spellStart"/>
      <w:r w:rsidRPr="009F57BB">
        <w:rPr>
          <w:rFonts w:ascii="Arial" w:eastAsia="Times New Roman" w:hAnsi="Arial" w:cs="Arial"/>
          <w:color w:val="000000"/>
          <w:kern w:val="0"/>
          <w:sz w:val="22"/>
          <w:szCs w:val="22"/>
          <w14:ligatures w14:val="none"/>
        </w:rPr>
        <w:t>Irms</w:t>
      </w:r>
      <w:proofErr w:type="spellEnd"/>
      <w:r w:rsidRPr="009F57BB">
        <w:rPr>
          <w:rFonts w:ascii="Arial" w:eastAsia="Times New Roman" w:hAnsi="Arial" w:cs="Arial"/>
          <w:color w:val="000000"/>
          <w:kern w:val="0"/>
          <w:sz w:val="22"/>
          <w:szCs w:val="22"/>
          <w14:ligatures w14:val="none"/>
        </w:rPr>
        <w:t xml:space="preserve"> payloads via a multiplexer, the engine executes real-time binary classification. This configuration achieves microsecond-level fault detection, reliably isolating severe anomalies without triggering false positives during standard load variations.</w:t>
      </w:r>
    </w:p>
    <w:p w14:paraId="3CFDB761" w14:textId="77777777" w:rsidR="009F57BB" w:rsidRPr="009F57BB" w:rsidRDefault="009F57BB" w:rsidP="009F57BB">
      <w:pPr>
        <w:spacing w:after="80" w:line="360" w:lineRule="auto"/>
        <w:jc w:val="both"/>
        <w:outlineLvl w:val="1"/>
        <w:rPr>
          <w:rFonts w:ascii="Times New Roman" w:eastAsia="Times New Roman" w:hAnsi="Times New Roman" w:cs="Times New Roman"/>
          <w:b/>
          <w:bCs/>
          <w:kern w:val="0"/>
          <w:sz w:val="36"/>
          <w:szCs w:val="36"/>
          <w14:ligatures w14:val="none"/>
        </w:rPr>
      </w:pPr>
      <w:r w:rsidRPr="009F57BB">
        <w:rPr>
          <w:rFonts w:ascii="Arial" w:eastAsia="Times New Roman" w:hAnsi="Arial" w:cs="Arial"/>
          <w:b/>
          <w:bCs/>
          <w:color w:val="000000"/>
          <w:kern w:val="0"/>
          <w:sz w:val="34"/>
          <w:szCs w:val="34"/>
          <w14:ligatures w14:val="none"/>
        </w:rPr>
        <w:t>3.8 Comprehensive Performance Evaluation Methodology</w:t>
      </w:r>
    </w:p>
    <w:p w14:paraId="6C70D05D" w14:textId="77777777" w:rsidR="009F57BB" w:rsidRPr="009F57BB" w:rsidRDefault="009F57BB" w:rsidP="009F57BB">
      <w:pPr>
        <w:spacing w:after="240" w:line="360" w:lineRule="auto"/>
        <w:jc w:val="both"/>
        <w:rPr>
          <w:rFonts w:ascii="Times New Roman" w:eastAsia="Times New Roman" w:hAnsi="Times New Roman" w:cs="Times New Roman"/>
          <w:kern w:val="0"/>
          <w14:ligatures w14:val="none"/>
        </w:rPr>
      </w:pPr>
      <w:r w:rsidRPr="009F57BB">
        <w:rPr>
          <w:rFonts w:ascii="Arial" w:eastAsia="Times New Roman" w:hAnsi="Arial" w:cs="Arial"/>
          <w:color w:val="000000"/>
          <w:kern w:val="0"/>
          <w:sz w:val="22"/>
          <w:szCs w:val="22"/>
          <w14:ligatures w14:val="none"/>
        </w:rPr>
        <w:t>To conclusively validate the scientific contribution of the proposed IoT-PLC framework, the system is subjected to a rigorous comparative analysis against state-of-the-art literature. The telecommunication subsystem is evaluated using Bit Error Rate (BER), throughput, and propagation delay against theoretical boundaries. The holistic system architecture is subsequently benchmarked against contemporary IoT and PLC frameworks based on end-to-end latency, communication reliability, algorithmic monitoring accuracy, and energy consumption reduction.</w:t>
      </w:r>
    </w:p>
    <w:p w14:paraId="6DCB14F2" w14:textId="77777777" w:rsidR="00304958" w:rsidRPr="009F57BB" w:rsidRDefault="00304958" w:rsidP="009F57BB">
      <w:pPr>
        <w:spacing w:line="360" w:lineRule="auto"/>
        <w:jc w:val="both"/>
      </w:pPr>
    </w:p>
    <w:sectPr w:rsidR="00304958" w:rsidRPr="009F5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14AD"/>
    <w:multiLevelType w:val="multilevel"/>
    <w:tmpl w:val="D14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52D3B"/>
    <w:multiLevelType w:val="multilevel"/>
    <w:tmpl w:val="B89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752AA"/>
    <w:multiLevelType w:val="multilevel"/>
    <w:tmpl w:val="FE2C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F0217"/>
    <w:multiLevelType w:val="multilevel"/>
    <w:tmpl w:val="C1D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B1F9D"/>
    <w:multiLevelType w:val="multilevel"/>
    <w:tmpl w:val="015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F3FDE"/>
    <w:multiLevelType w:val="multilevel"/>
    <w:tmpl w:val="F2E0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31207"/>
    <w:multiLevelType w:val="multilevel"/>
    <w:tmpl w:val="BA6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30E49"/>
    <w:multiLevelType w:val="multilevel"/>
    <w:tmpl w:val="83E8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763A4"/>
    <w:multiLevelType w:val="multilevel"/>
    <w:tmpl w:val="B73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B81632"/>
    <w:multiLevelType w:val="multilevel"/>
    <w:tmpl w:val="64C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95489"/>
    <w:multiLevelType w:val="multilevel"/>
    <w:tmpl w:val="BD26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E22F23"/>
    <w:multiLevelType w:val="multilevel"/>
    <w:tmpl w:val="F92A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8492C"/>
    <w:multiLevelType w:val="multilevel"/>
    <w:tmpl w:val="CDA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75E29"/>
    <w:multiLevelType w:val="multilevel"/>
    <w:tmpl w:val="4B3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45013"/>
    <w:multiLevelType w:val="multilevel"/>
    <w:tmpl w:val="614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01308"/>
    <w:multiLevelType w:val="multilevel"/>
    <w:tmpl w:val="B1A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665761">
    <w:abstractNumId w:val="8"/>
  </w:num>
  <w:num w:numId="2" w16cid:durableId="631446965">
    <w:abstractNumId w:val="11"/>
  </w:num>
  <w:num w:numId="3" w16cid:durableId="1207254209">
    <w:abstractNumId w:val="6"/>
  </w:num>
  <w:num w:numId="4" w16cid:durableId="800074667">
    <w:abstractNumId w:val="14"/>
  </w:num>
  <w:num w:numId="5" w16cid:durableId="606234032">
    <w:abstractNumId w:val="15"/>
  </w:num>
  <w:num w:numId="6" w16cid:durableId="880821961">
    <w:abstractNumId w:val="7"/>
  </w:num>
  <w:num w:numId="7" w16cid:durableId="475536470">
    <w:abstractNumId w:val="10"/>
  </w:num>
  <w:num w:numId="8" w16cid:durableId="1556619133">
    <w:abstractNumId w:val="4"/>
  </w:num>
  <w:num w:numId="9" w16cid:durableId="1668240741">
    <w:abstractNumId w:val="3"/>
  </w:num>
  <w:num w:numId="10" w16cid:durableId="1894535069">
    <w:abstractNumId w:val="9"/>
  </w:num>
  <w:num w:numId="11" w16cid:durableId="2137795093">
    <w:abstractNumId w:val="0"/>
  </w:num>
  <w:num w:numId="12" w16cid:durableId="1378046019">
    <w:abstractNumId w:val="1"/>
  </w:num>
  <w:num w:numId="13" w16cid:durableId="169177609">
    <w:abstractNumId w:val="12"/>
  </w:num>
  <w:num w:numId="14" w16cid:durableId="1528719603">
    <w:abstractNumId w:val="2"/>
  </w:num>
  <w:num w:numId="15" w16cid:durableId="1103961421">
    <w:abstractNumId w:val="13"/>
  </w:num>
  <w:num w:numId="16" w16cid:durableId="281810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BB"/>
    <w:rsid w:val="001A396E"/>
    <w:rsid w:val="00304958"/>
    <w:rsid w:val="00797FD0"/>
    <w:rsid w:val="009F57BB"/>
    <w:rsid w:val="00A262B5"/>
    <w:rsid w:val="00DF51B4"/>
    <w:rsid w:val="00F50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B4C8"/>
  <w15:chartTrackingRefBased/>
  <w15:docId w15:val="{364054E4-130A-4C27-B9C9-9DE99B81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7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57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57B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57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57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5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7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57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57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57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57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5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7BB"/>
    <w:rPr>
      <w:rFonts w:eastAsiaTheme="majorEastAsia" w:cstheme="majorBidi"/>
      <w:color w:val="272727" w:themeColor="text1" w:themeTint="D8"/>
    </w:rPr>
  </w:style>
  <w:style w:type="paragraph" w:styleId="Title">
    <w:name w:val="Title"/>
    <w:basedOn w:val="Normal"/>
    <w:next w:val="Normal"/>
    <w:link w:val="TitleChar"/>
    <w:uiPriority w:val="10"/>
    <w:qFormat/>
    <w:rsid w:val="009F5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7BB"/>
    <w:pPr>
      <w:spacing w:before="160"/>
      <w:jc w:val="center"/>
    </w:pPr>
    <w:rPr>
      <w:i/>
      <w:iCs/>
      <w:color w:val="404040" w:themeColor="text1" w:themeTint="BF"/>
    </w:rPr>
  </w:style>
  <w:style w:type="character" w:customStyle="1" w:styleId="QuoteChar">
    <w:name w:val="Quote Char"/>
    <w:basedOn w:val="DefaultParagraphFont"/>
    <w:link w:val="Quote"/>
    <w:uiPriority w:val="29"/>
    <w:rsid w:val="009F57BB"/>
    <w:rPr>
      <w:i/>
      <w:iCs/>
      <w:color w:val="404040" w:themeColor="text1" w:themeTint="BF"/>
    </w:rPr>
  </w:style>
  <w:style w:type="paragraph" w:styleId="ListParagraph">
    <w:name w:val="List Paragraph"/>
    <w:basedOn w:val="Normal"/>
    <w:uiPriority w:val="34"/>
    <w:qFormat/>
    <w:rsid w:val="009F57BB"/>
    <w:pPr>
      <w:ind w:left="720"/>
      <w:contextualSpacing/>
    </w:pPr>
  </w:style>
  <w:style w:type="character" w:styleId="IntenseEmphasis">
    <w:name w:val="Intense Emphasis"/>
    <w:basedOn w:val="DefaultParagraphFont"/>
    <w:uiPriority w:val="21"/>
    <w:qFormat/>
    <w:rsid w:val="009F57BB"/>
    <w:rPr>
      <w:i/>
      <w:iCs/>
      <w:color w:val="2E74B5" w:themeColor="accent1" w:themeShade="BF"/>
    </w:rPr>
  </w:style>
  <w:style w:type="paragraph" w:styleId="IntenseQuote">
    <w:name w:val="Intense Quote"/>
    <w:basedOn w:val="Normal"/>
    <w:next w:val="Normal"/>
    <w:link w:val="IntenseQuoteChar"/>
    <w:uiPriority w:val="30"/>
    <w:qFormat/>
    <w:rsid w:val="009F57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57BB"/>
    <w:rPr>
      <w:i/>
      <w:iCs/>
      <w:color w:val="2E74B5" w:themeColor="accent1" w:themeShade="BF"/>
    </w:rPr>
  </w:style>
  <w:style w:type="character" w:styleId="IntenseReference">
    <w:name w:val="Intense Reference"/>
    <w:basedOn w:val="DefaultParagraphFont"/>
    <w:uiPriority w:val="32"/>
    <w:qFormat/>
    <w:rsid w:val="009F57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1340</Words>
  <Characters>7638</Characters>
  <Application>Microsoft Office Word</Application>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John</dc:creator>
  <cp:keywords/>
  <dc:description/>
  <cp:lastModifiedBy>Fredrick John</cp:lastModifiedBy>
  <cp:revision>1</cp:revision>
  <dcterms:created xsi:type="dcterms:W3CDTF">2026-07-14T11:40:00Z</dcterms:created>
  <dcterms:modified xsi:type="dcterms:W3CDTF">2026-07-14T11:51:00Z</dcterms:modified>
</cp:coreProperties>
</file>