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 of  selection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  <w:vertAlign w:val="subscript"/>
          </w:rPr>
          <m:t xml:space="preserve">p⋀q⋀r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(R)=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r(R)))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Eg.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m:oMath>
        <m:r>
          <m:t>σ</m:t>
        </m:r>
      </m:oMath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branchNo=’B003’ ⋀ salary&gt;15000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 =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branchNo=’B003’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salary&gt;15000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Commutativity of selection operations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q(R))=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q(R))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Eg.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branchNo=’B003’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salary&gt;15000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(Staff)) =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salary&gt;15000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branchNo=’B003’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a sequence of projection operations , only the last sequence is required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(R)=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Eg.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branchNo,IName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(Staff))=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Commutativity of Selection and Projection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the predicate p involves only the attributes in the projection list, then the Selection and   projection operations can commute as follows: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A1,...,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(R)) =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A1,...,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(R)) where p ∊ {A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,...,A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Eg.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fName, IName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IName=’Lee’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(Staff)) =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IName=’Lee’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fName,IName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Commutativity of Theta join (and Cartesian product)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Note:This rule also applies to the equijoin and the natural join because they are special cases of the Theta join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⨝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 = S 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</w:t>
      </w:r>
      <m:oMath>
        <m: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S </w:t>
      </w:r>
      <m:oMath>
        <m: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Eg.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Staff 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Staff.branchNo=Branch.branchNo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Branch = Branch 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Staff.branchNo=Branch.branchNo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Commutativity of Selection and Theta join (or Cartesian product)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(R 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S) = (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(R)) 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</w:t>
      </w:r>
      <m:oMath>
        <m: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S) = (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(R))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Commutative pr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