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P2P产品竞品分析报告：友金所、ppmoney</w:t>
      </w:r>
    </w:p>
    <w:p>
      <w:pPr>
        <w:numPr>
          <w:ilvl w:val="0"/>
          <w:numId w:val="1"/>
        </w:numPr>
      </w:pPr>
      <w:r>
        <w:rPr>
          <w:rFonts w:hint="eastAsia"/>
        </w:rPr>
        <w:t>调研目的</w:t>
      </w:r>
    </w:p>
    <w:p>
      <w:pPr>
        <w:ind w:left="105" w:firstLine="419"/>
        <w:rPr>
          <w:rFonts w:hint="default" w:eastAsiaTheme="minorEastAsia"/>
          <w:lang w:val="en-US" w:eastAsia="zh-CN"/>
        </w:rPr>
      </w:pPr>
      <w:r>
        <w:rPr>
          <w:rFonts w:hint="eastAsia"/>
        </w:rPr>
        <w:t>通过行业背景、用户群体、产品结构、核心功能、运营策略来</w:t>
      </w:r>
      <w:r>
        <w:rPr>
          <w:rFonts w:hint="eastAsia"/>
          <w:lang w:eastAsia="zh-CN"/>
        </w:rPr>
        <w:t>分析比较两款</w:t>
      </w:r>
      <w:r>
        <w:rPr>
          <w:rFonts w:hint="eastAsia"/>
          <w:lang w:val="en-US" w:eastAsia="zh-CN"/>
        </w:rPr>
        <w:t>P2P资金端产品的差异点</w:t>
      </w:r>
    </w:p>
    <w:p>
      <w:pPr>
        <w:ind w:left="105" w:firstLine="419"/>
      </w:pPr>
    </w:p>
    <w:p>
      <w:pPr>
        <w:numPr>
          <w:ilvl w:val="0"/>
          <w:numId w:val="1"/>
        </w:numPr>
      </w:pPr>
      <w:r>
        <w:rPr>
          <w:rFonts w:hint="eastAsia"/>
        </w:rPr>
        <w:t>行业现状</w:t>
      </w:r>
    </w:p>
    <w:p>
      <w:pPr>
        <w:ind w:left="105" w:firstLine="419"/>
        <w:rPr>
          <w:rFonts w:hint="eastAsia"/>
          <w:lang w:val="en-US" w:eastAsia="zh-CN"/>
        </w:rPr>
      </w:pPr>
      <w:r>
        <w:rPr>
          <w:rFonts w:hint="eastAsia"/>
        </w:rPr>
        <w:t>P2P借贷公司在我国最早始于2007年，但是由于我国个人征信体系不完善，所以行业的发展一直不瘟不火，2013年借助“互联</w:t>
      </w:r>
      <w:r>
        <w:rPr>
          <w:rFonts w:hint="eastAsia"/>
          <w:lang w:eastAsia="zh-CN"/>
        </w:rPr>
        <w:t>网</w:t>
      </w:r>
      <w:r>
        <w:rPr>
          <w:rFonts w:hint="eastAsia"/>
        </w:rPr>
        <w:t>金融元年”概念，P2P借贷行业迎来爆发性增长，但随之而来的是缺乏监管下的公司跑路、骗钱等行业乱象，2015年来，国家出台各种监管策略管制P2P行业，2018年出现大</w:t>
      </w:r>
      <w:r>
        <w:rPr>
          <w:rFonts w:hint="eastAsia"/>
          <w:lang w:eastAsia="zh-CN"/>
        </w:rPr>
        <w:t>量</w:t>
      </w:r>
      <w:r>
        <w:rPr>
          <w:rFonts w:hint="eastAsia"/>
        </w:rPr>
        <w:t>P2P暴雷，导致大面积恐慌，</w:t>
      </w:r>
      <w:r>
        <w:fldChar w:fldCharType="begin"/>
      </w:r>
      <w:r>
        <w:instrText xml:space="preserve"> HYPERLINK "http://baike.wdzj.com/doc-view-3042.html" \t "https://bbs.wdzj.com/_blank" </w:instrText>
      </w:r>
      <w:r>
        <w:fldChar w:fldCharType="separate"/>
      </w:r>
      <w:r>
        <w:rPr>
          <w:rFonts w:hint="eastAsia"/>
        </w:rPr>
        <w:t>出借人</w:t>
      </w:r>
      <w:r>
        <w:rPr>
          <w:rFonts w:hint="eastAsia"/>
        </w:rPr>
        <w:fldChar w:fldCharType="end"/>
      </w:r>
      <w:r>
        <w:rPr>
          <w:rFonts w:hint="eastAsia"/>
        </w:rPr>
        <w:t>信心受挫。但与此同时，一些稳健的平台依然屹立不倒，从另一方面来说，这是一个良币驱逐劣币的过程，促使</w:t>
      </w:r>
      <w:r>
        <w:rPr>
          <w:rFonts w:hint="eastAsia"/>
          <w:lang w:val="en-US" w:eastAsia="zh-CN"/>
        </w:rPr>
        <w:t>P2P行业</w:t>
      </w:r>
      <w:r>
        <w:rPr>
          <w:rFonts w:hint="eastAsia"/>
        </w:rPr>
        <w:t>越来越规范化，投资者的风险</w:t>
      </w:r>
      <w:r>
        <w:rPr>
          <w:rFonts w:hint="eastAsia"/>
          <w:lang w:eastAsia="zh-CN"/>
        </w:rPr>
        <w:t>越来越</w:t>
      </w:r>
      <w:r>
        <w:rPr>
          <w:rFonts w:hint="eastAsia"/>
        </w:rPr>
        <w:t>低，对于投资者以及优秀的平台来说也是一件好事。截至2019年4月底，P2P网贷行业累计成交量为8.42万亿元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P2P行业已形成万亿级市场规模。</w:t>
      </w:r>
    </w:p>
    <w:p>
      <w:pPr>
        <w:ind w:left="105" w:firstLine="419"/>
        <w:rPr>
          <w:rFonts w:hint="default"/>
          <w:lang w:val="en-US" w:eastAsia="zh-CN"/>
        </w:rPr>
      </w:pPr>
    </w:p>
    <w:p>
      <w:pPr>
        <w:ind w:left="105" w:firstLine="419"/>
        <w:rPr>
          <w:rFonts w:hint="eastAsia" w:eastAsia="宋体"/>
          <w:lang w:eastAsia="zh-CN"/>
        </w:rPr>
      </w:pPr>
      <w:r>
        <w:rPr>
          <w:rFonts w:ascii="Helvetica" w:hAnsi="Helvetica" w:eastAsia="Helvetica" w:cs="Helvetica"/>
          <w:color w:val="333333"/>
          <w:szCs w:val="21"/>
          <w:shd w:val="clear" w:color="auto" w:fill="FFFFFF"/>
        </w:rPr>
        <w:t>图 1 P2P网贷行业成交量走势</w:t>
      </w:r>
      <w:r>
        <w:rPr>
          <w:rFonts w:hint="eastAsia" w:ascii="Helvetica" w:hAnsi="Helvetica" w:eastAsia="宋体" w:cs="Helvetica"/>
          <w:color w:val="333333"/>
          <w:szCs w:val="21"/>
          <w:shd w:val="clear" w:color="auto" w:fill="FFFFFF"/>
          <w:lang w:eastAsia="zh-CN"/>
        </w:rPr>
        <w:t>（</w:t>
      </w:r>
      <w:r>
        <w:rPr>
          <w:rFonts w:hint="eastAsia" w:ascii="Helvetica" w:hAnsi="Helvetica" w:eastAsia="宋体" w:cs="Helvetica"/>
          <w:color w:val="333333"/>
          <w:szCs w:val="21"/>
          <w:shd w:val="clear" w:color="auto" w:fill="FFFFFF"/>
          <w:lang w:val="en-US" w:eastAsia="zh-CN"/>
        </w:rPr>
        <w:t>2018.05-2019.04</w:t>
      </w:r>
      <w:r>
        <w:rPr>
          <w:rFonts w:hint="eastAsia" w:ascii="Helvetica" w:hAnsi="Helvetica" w:eastAsia="宋体" w:cs="Helvetica"/>
          <w:color w:val="333333"/>
          <w:szCs w:val="21"/>
          <w:shd w:val="clear" w:color="auto" w:fill="FFFFFF"/>
          <w:lang w:eastAsia="zh-CN"/>
        </w:rPr>
        <w:t>）</w:t>
      </w:r>
    </w:p>
    <w:p>
      <w:pPr>
        <w:ind w:left="105" w:firstLine="419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210175" cy="328612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" w:firstLine="419"/>
        <w:rPr>
          <w:rFonts w:ascii="宋体" w:hAnsi="宋体" w:eastAsia="宋体" w:cs="宋体"/>
          <w:sz w:val="24"/>
        </w:rPr>
      </w:pPr>
      <w:r>
        <w:rPr>
          <w:rFonts w:ascii="Helvetica" w:hAnsi="Helvetica" w:eastAsia="Helvetica" w:cs="Helvetica"/>
          <w:color w:val="333333"/>
          <w:sz w:val="18"/>
          <w:szCs w:val="18"/>
          <w:shd w:val="clear" w:color="auto" w:fill="FFFFFF"/>
        </w:rPr>
        <w:t>数据来源：网贷之家研究中心</w:t>
      </w:r>
    </w:p>
    <w:p/>
    <w:p>
      <w:pPr>
        <w:numPr>
          <w:ilvl w:val="0"/>
          <w:numId w:val="1"/>
        </w:numPr>
      </w:pPr>
      <w:r>
        <w:rPr>
          <w:rFonts w:hint="eastAsia"/>
        </w:rPr>
        <w:t>竞品选择</w:t>
      </w:r>
    </w:p>
    <w:p>
      <w:pPr>
        <w:ind w:left="105" w:firstLine="419"/>
        <w:rPr>
          <w:rFonts w:hint="eastAsia" w:eastAsiaTheme="minorEastAsia"/>
          <w:lang w:eastAsia="zh-CN"/>
        </w:rPr>
      </w:pPr>
      <w:r>
        <w:rPr>
          <w:rFonts w:hint="eastAsia"/>
        </w:rPr>
        <w:t>P2P总体上是一个大市场，理财产品的种类也非常多，今天选取主打活期理财产品的P2P平台，本文选取华南地区两家头部P2P平台友金所和万惠旗下的投资理财APP友金所和ppmoney出借来进行竞品分析</w:t>
      </w:r>
    </w:p>
    <w:p>
      <w:pPr>
        <w:ind w:left="105" w:firstLine="419"/>
      </w:pPr>
      <w:r>
        <w:rPr>
          <w:rFonts w:hint="eastAsia"/>
        </w:rPr>
        <w:t>友金所</w:t>
      </w:r>
    </w:p>
    <w:p>
      <w:pPr>
        <w:ind w:left="105" w:firstLine="419"/>
      </w:pPr>
      <w:r>
        <w:rPr>
          <w:rFonts w:hint="eastAsia"/>
        </w:rPr>
        <w:t>Ppmoney出借</w:t>
      </w:r>
    </w:p>
    <w:p>
      <w:pPr>
        <w:ind w:left="105" w:firstLine="419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38100" cy="7620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r>
        <w:drawing>
          <wp:inline distT="0" distB="0" distL="114300" distR="114300">
            <wp:extent cx="1306195" cy="1306195"/>
            <wp:effectExtent l="0" t="0" r="825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62050" cy="1162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ppmoney</w:t>
      </w:r>
    </w:p>
    <w:p/>
    <w:p/>
    <w:p/>
    <w:p/>
    <w:p>
      <w:r>
        <w:rPr>
          <w:rFonts w:hint="eastAsia"/>
        </w:rPr>
        <w:t>核心功能</w:t>
      </w:r>
    </w:p>
    <w:tbl>
      <w:tblPr>
        <w:tblStyle w:val="6"/>
        <w:tblW w:w="83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1"/>
        <w:gridCol w:w="931"/>
        <w:gridCol w:w="930"/>
        <w:gridCol w:w="931"/>
        <w:gridCol w:w="932"/>
        <w:gridCol w:w="932"/>
        <w:gridCol w:w="930"/>
        <w:gridCol w:w="932"/>
        <w:gridCol w:w="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931" w:type="dxa"/>
          </w:tcPr>
          <w:p>
            <w:r>
              <w:rPr>
                <w:rFonts w:hint="eastAsia"/>
              </w:rPr>
              <w:t>平台</w:t>
            </w:r>
          </w:p>
        </w:tc>
        <w:tc>
          <w:tcPr>
            <w:tcW w:w="931" w:type="dxa"/>
          </w:tcPr>
          <w:p>
            <w:r>
              <w:rPr>
                <w:rFonts w:hint="eastAsia"/>
              </w:rPr>
              <w:t>成立时间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股东背景</w:t>
            </w:r>
          </w:p>
        </w:tc>
        <w:tc>
          <w:tcPr>
            <w:tcW w:w="931" w:type="dxa"/>
          </w:tcPr>
          <w:p>
            <w:r>
              <w:rPr>
                <w:rFonts w:hint="eastAsia"/>
              </w:rPr>
              <w:t>金融产品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底层资产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累计投资用户数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成交量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资金托管</w:t>
            </w:r>
          </w:p>
        </w:tc>
        <w:tc>
          <w:tcPr>
            <w:tcW w:w="931" w:type="dxa"/>
          </w:tcPr>
          <w:p>
            <w:r>
              <w:rPr>
                <w:rFonts w:hint="eastAsia"/>
              </w:rPr>
              <w:t>平均年化利率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1" w:hRule="atLeast"/>
        </w:trPr>
        <w:tc>
          <w:tcPr>
            <w:tcW w:w="931" w:type="dxa"/>
          </w:tcPr>
          <w:p>
            <w:r>
              <w:rPr>
                <w:rFonts w:hint="eastAsia"/>
              </w:rPr>
              <w:t>友金所</w:t>
            </w:r>
          </w:p>
        </w:tc>
        <w:tc>
          <w:tcPr>
            <w:tcW w:w="931" w:type="dxa"/>
          </w:tcPr>
          <w:p>
            <w:r>
              <w:rPr>
                <w:rFonts w:ascii="Arial" w:hAnsi="Arial" w:eastAsia="宋体" w:cs="Arial"/>
                <w:color w:val="333333"/>
                <w:sz w:val="19"/>
                <w:szCs w:val="19"/>
                <w:shd w:val="clear" w:color="auto" w:fill="FFFFFF"/>
              </w:rPr>
              <w:t>2014年7月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上市系（用友）</w:t>
            </w:r>
          </w:p>
        </w:tc>
        <w:tc>
          <w:tcPr>
            <w:tcW w:w="931" w:type="dxa"/>
          </w:tcPr>
          <w:p>
            <w:r>
              <w:rPr>
                <w:rFonts w:hint="eastAsia"/>
              </w:rPr>
              <w:t>自动投标工具、安心投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房贷、车贷、公积金贷、企业贷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40万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464亿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银行存管（上海银行）</w:t>
            </w:r>
          </w:p>
        </w:tc>
        <w:tc>
          <w:tcPr>
            <w:tcW w:w="931" w:type="dxa"/>
          </w:tcPr>
          <w:p>
            <w:r>
              <w:rPr>
                <w:rFonts w:ascii="Helvetica" w:hAnsi="Helvetica" w:eastAsia="Helvetica" w:cs="Helvetica"/>
                <w:b/>
                <w:color w:val="333333"/>
                <w:sz w:val="18"/>
                <w:szCs w:val="18"/>
                <w:shd w:val="clear" w:color="auto" w:fill="FFFFFF"/>
              </w:rPr>
              <w:t>8.2%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9" w:hRule="atLeast"/>
        </w:trPr>
        <w:tc>
          <w:tcPr>
            <w:tcW w:w="931" w:type="dxa"/>
          </w:tcPr>
          <w:p>
            <w:r>
              <w:rPr>
                <w:rFonts w:hint="eastAsia"/>
              </w:rPr>
              <w:t>ppmoney</w:t>
            </w:r>
          </w:p>
        </w:tc>
        <w:tc>
          <w:tcPr>
            <w:tcW w:w="931" w:type="dxa"/>
          </w:tcPr>
          <w:p>
            <w:r>
              <w:rPr>
                <w:rFonts w:hint="eastAsia"/>
              </w:rPr>
              <w:t>2012年12月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风投系（万惠）</w:t>
            </w:r>
          </w:p>
        </w:tc>
        <w:tc>
          <w:tcPr>
            <w:tcW w:w="931" w:type="dxa"/>
          </w:tcPr>
          <w:p>
            <w:r>
              <w:rPr>
                <w:rFonts w:hint="eastAsia"/>
              </w:rPr>
              <w:t>自动投标工具、散标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车贷、企业贷消费分期等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130万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1224亿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银行存管（厦门银行）</w:t>
            </w:r>
          </w:p>
        </w:tc>
        <w:tc>
          <w:tcPr>
            <w:tcW w:w="931" w:type="dxa"/>
          </w:tcPr>
          <w:p>
            <w:r>
              <w:rPr>
                <w:rFonts w:ascii="Helvetica" w:hAnsi="Helvetica" w:eastAsia="Helvetica" w:cs="Helvetica"/>
                <w:b/>
                <w:color w:val="333333"/>
                <w:sz w:val="27"/>
                <w:szCs w:val="27"/>
                <w:shd w:val="clear" w:color="auto" w:fill="FFFFFF"/>
              </w:rPr>
              <w:t>9.44</w:t>
            </w:r>
            <w:r>
              <w:rPr>
                <w:rFonts w:ascii="Helvetica" w:hAnsi="Helvetica" w:eastAsia="Helvetica" w:cs="Helvetica"/>
                <w:color w:val="333333"/>
                <w:sz w:val="18"/>
                <w:szCs w:val="18"/>
                <w:shd w:val="clear" w:color="auto" w:fill="FFFFFF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6" w:hRule="atLeast"/>
        </w:trPr>
        <w:tc>
          <w:tcPr>
            <w:tcW w:w="931" w:type="dxa"/>
          </w:tcPr>
          <w:p>
            <w:r>
              <w:rPr>
                <w:rFonts w:hint="eastAsia"/>
              </w:rPr>
              <w:t>桔子理财</w:t>
            </w:r>
          </w:p>
        </w:tc>
        <w:tc>
          <w:tcPr>
            <w:tcW w:w="931" w:type="dxa"/>
          </w:tcPr>
          <w:p>
            <w:r>
              <w:rPr>
                <w:rFonts w:hint="eastAsia" w:ascii="Arial" w:hAnsi="Arial" w:eastAsia="宋体" w:cs="Arial"/>
                <w:color w:val="333333"/>
                <w:szCs w:val="21"/>
                <w:shd w:val="clear" w:color="auto" w:fill="FFFFFF"/>
              </w:rPr>
              <w:t>2014年7月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风投系（万惠）</w:t>
            </w:r>
          </w:p>
        </w:tc>
        <w:tc>
          <w:tcPr>
            <w:tcW w:w="931" w:type="dxa"/>
          </w:tcPr>
          <w:p/>
        </w:tc>
        <w:tc>
          <w:tcPr>
            <w:tcW w:w="932" w:type="dxa"/>
          </w:tcPr>
          <w:p/>
        </w:tc>
        <w:tc>
          <w:tcPr>
            <w:tcW w:w="932" w:type="dxa"/>
          </w:tcPr>
          <w:p/>
        </w:tc>
        <w:tc>
          <w:tcPr>
            <w:tcW w:w="930" w:type="dxa"/>
          </w:tcPr>
          <w:p/>
        </w:tc>
        <w:tc>
          <w:tcPr>
            <w:tcW w:w="932" w:type="dxa"/>
          </w:tcPr>
          <w:p/>
        </w:tc>
        <w:tc>
          <w:tcPr>
            <w:tcW w:w="931" w:type="dxa"/>
          </w:tcPr>
          <w:p/>
        </w:tc>
      </w:tr>
    </w:tbl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用户分析</w:t>
      </w:r>
    </w:p>
    <w:p>
      <w:pPr>
        <w:ind w:left="420"/>
      </w:pPr>
      <w:r>
        <w:rPr>
          <w:rFonts w:hint="eastAsia"/>
        </w:rPr>
        <w:t>下面将根据两款产品的年龄分布、性别分布、地域分布、用户对理财产品的偏好四个角度分析两款产品的定位</w:t>
      </w:r>
    </w:p>
    <w:p>
      <w:pPr>
        <w:pStyle w:val="12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用户年龄与性别分布 </w:t>
      </w:r>
    </w:p>
    <w:p>
      <w:pPr>
        <w:pStyle w:val="12"/>
        <w:ind w:left="825" w:firstLine="0" w:firstLineChars="0"/>
      </w:pPr>
      <w:r>
        <w:rPr>
          <w:rFonts w:hint="eastAsia"/>
        </w:rPr>
        <w:t>从两款产品在2018年的运营报告中披露的信息来看，两款产品的用户都集中分布在25-50岁这一年龄群，大约占投资用户的80%，而25岁和50岁以上的投资用户占比大约在20%左右。另外，在投资用户性别分布中，友金所的女性投资用户多于男性，而ppmoney的男性投资用户偏多。这可能与两款产品的战略布局有关，友金所主打低风险的稳健稳健投资，理财产品属性偏向于长期和低利率，而ppmoney的市场开拓策略更为激进一些，推出了更多收益较高的短期理财产品，在投资理财时，男性用户会比女性用户更为大胆、更有博弈心态，所以两款产品的用户在性别比例分布上会出现相反的情况</w:t>
      </w:r>
    </w:p>
    <w:p>
      <w:pPr>
        <w:jc w:val="center"/>
      </w:pPr>
      <w:r>
        <w:drawing>
          <wp:inline distT="0" distB="0" distL="0" distR="0">
            <wp:extent cx="2305050" cy="1906905"/>
            <wp:effectExtent l="19050" t="0" r="0" b="0"/>
            <wp:docPr id="2" name="图片 1" descr="C:\Users\ADMINI~1\AppData\Local\Temp\WeChat Files\cfa57dddafe8b6c243a421ced8ac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ADMINI~1\AppData\Local\Temp\WeChat Files\cfa57dddafe8b6c243a421ced8ace2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8530" cy="190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65400" cy="1909445"/>
            <wp:effectExtent l="19050" t="0" r="5916" b="0"/>
            <wp:docPr id="3" name="图片 2" descr="C:\Users\ADMINI~1\AppData\Local\Temp\WeChat Files\5f38055a7f9205cc3af3a9f184fc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ADMINI~1\AppData\Local\Temp\WeChat Files\5f38055a7f9205cc3af3a9f184fc03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0503" cy="191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友金所和ppmoney用户人群年龄分布</w:t>
      </w:r>
    </w:p>
    <w:p/>
    <w:p>
      <w:pPr>
        <w:jc w:val="center"/>
      </w:pPr>
      <w:r>
        <w:drawing>
          <wp:inline distT="0" distB="0" distL="0" distR="0">
            <wp:extent cx="2359025" cy="1609090"/>
            <wp:effectExtent l="19050" t="0" r="2688" b="0"/>
            <wp:docPr id="5" name="图片 3" descr="C:\Users\ADMINI~1\AppData\Local\Temp\WeChat Files\4ae9985308e9f8ed8d6b1173f9573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ADMINI~1\AppData\Local\Temp\WeChat Files\4ae9985308e9f8ed8d6b1173f9573e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9512" cy="160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03170" cy="1604010"/>
            <wp:effectExtent l="19050" t="0" r="0" b="0"/>
            <wp:docPr id="7" name="图片 4" descr="C:\Users\ADMINI~1\AppData\Local\Temp\WeChat Files\5a086f1073538b50f81dfbf5e0c14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C:\Users\ADMINI~1\AppData\Local\Temp\WeChat Files\5a086f1073538b50f81dfbf5e0c142b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3255" cy="160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友金所和ppmoney用户人群性别分布</w:t>
      </w:r>
    </w:p>
    <w:p/>
    <w:p>
      <w:pPr>
        <w:pStyle w:val="12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用户地域分布</w:t>
      </w:r>
    </w:p>
    <w:p>
      <w:pPr>
        <w:pStyle w:val="12"/>
        <w:ind w:left="825" w:firstLine="0" w:firstLineChars="0"/>
        <w:rPr>
          <w:rFonts w:hint="eastAsia"/>
        </w:rPr>
      </w:pPr>
      <w:r>
        <w:rPr>
          <w:rFonts w:hint="eastAsia"/>
        </w:rPr>
        <w:t>从下图中显示，两款产品的用户中占比比较靠前的用户都来自经济较为发达的区域，如广东、江苏、浙江等地区，两款产品总体上的投资用户人群在地域上比较接近。另外，从图中可以发现，两款产品的投资用户都是来自广东地区的最多，这与两款产品所隶属的公司都属于广东息息相关，另外，友金所的最大股东是位于北京的用友集团，这也不难解释友金所的第二大用户群体是来自北京区域的了。</w:t>
      </w:r>
    </w:p>
    <w:p>
      <w:pPr>
        <w:rPr>
          <w:rFonts w:hint="eastAsia"/>
        </w:rPr>
      </w:pPr>
      <w:r>
        <w:drawing>
          <wp:inline distT="0" distB="0" distL="0" distR="0">
            <wp:extent cx="2515870" cy="1609090"/>
            <wp:effectExtent l="19050" t="0" r="0" b="0"/>
            <wp:docPr id="20" name="图片 8" descr="C:\Users\ADMINI~1\AppData\Local\Temp\WeChat Files\81174e6ccd7ab935d1813586e620b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C:\Users\ADMINI~1\AppData\Local\Temp\WeChat Files\81174e6ccd7ab935d1813586e620bc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300" cy="160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33015" cy="1607185"/>
            <wp:effectExtent l="19050" t="0" r="233" b="0"/>
            <wp:docPr id="19" name="图片 7" descr="C:\Users\ADMINI~1\AppData\Local\Temp\WeChat Files\463232410576dd6c3adadc7ddefc1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C:\Users\ADMINI~1\AppData\Local\Temp\WeChat Files\463232410576dd6c3adadc7ddefc1d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904" cy="160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友金所和ppmoney用户地域性别分布</w:t>
      </w:r>
    </w:p>
    <w:p/>
    <w:p/>
    <w:p>
      <w:pPr>
        <w:numPr>
          <w:ilvl w:val="0"/>
          <w:numId w:val="1"/>
        </w:numPr>
      </w:pPr>
      <w:r>
        <w:rPr>
          <w:rFonts w:hint="eastAsia"/>
        </w:rPr>
        <w:t>产品体验</w:t>
      </w:r>
    </w:p>
    <w:p>
      <w:pPr>
        <w:numPr>
          <w:ilvl w:val="0"/>
          <w:numId w:val="3"/>
        </w:numPr>
        <w:ind w:left="105"/>
        <w:rPr>
          <w:rFonts w:hint="eastAsia"/>
        </w:rPr>
      </w:pPr>
      <w:r>
        <w:rPr>
          <w:rFonts w:hint="eastAsia"/>
        </w:rPr>
        <w:t>产品框架</w:t>
      </w:r>
    </w:p>
    <w:p>
      <w:pPr>
        <w:numPr>
          <w:ilvl w:val="0"/>
          <w:numId w:val="3"/>
        </w:numPr>
        <w:ind w:left="105"/>
      </w:pPr>
    </w:p>
    <w:p>
      <w:r>
        <w:drawing>
          <wp:inline distT="0" distB="0" distL="114300" distR="114300">
            <wp:extent cx="5138420" cy="6737350"/>
            <wp:effectExtent l="0" t="0" r="5080" b="6350"/>
            <wp:docPr id="9" name="图片 9" descr="友金所功能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友金所功能结构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5647690" cy="5420995"/>
            <wp:effectExtent l="0" t="0" r="10160" b="8255"/>
            <wp:docPr id="11" name="图片 11" descr="PPmoney出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Pmoney出借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"/>
      </w:pPr>
      <w:r>
        <w:rPr>
          <w:rFonts w:hint="eastAsia"/>
        </w:rPr>
        <w:t>从产品结构图上来看，在产品架构大方向上，两者相差不大，友金所分为四大模块：首页、出借、发现、我的</w:t>
      </w:r>
    </w:p>
    <w:p>
      <w:pPr>
        <w:ind w:left="105"/>
      </w:pPr>
      <w:r>
        <w:rPr>
          <w:rFonts w:hint="eastAsia"/>
        </w:rPr>
        <w:t>而PPmoney分为五大模块：首页、产品、p友圈、发现、我的</w:t>
      </w:r>
    </w:p>
    <w:p>
      <w:pPr>
        <w:ind w:left="105"/>
      </w:pPr>
      <w:r>
        <w:rPr>
          <w:rFonts w:hint="eastAsia"/>
        </w:rPr>
        <w:t>较之友金所，PPmoney更为注重营造社区文化，因此多了一个社区模块：p友圈，而友金所具有电商模块：友好物，虽然此模块未放置在第一层级，但先后在首页和发现两大板块都有友好物入口。因此可以看出，虽然两者产品定位类似，但ppmoney偏社区，友金所电商属性更强</w:t>
      </w:r>
    </w:p>
    <w:p>
      <w:pPr>
        <w:ind w:left="105"/>
      </w:pPr>
      <w:r>
        <w:rPr>
          <w:rFonts w:hint="eastAsia"/>
        </w:rPr>
        <w:t>另外，从图中可以看到，友金所的功能划分比ppmoney更为混乱，例如在发现模块，友金所涵盖了积分中心、消息中心、我的客服这一类固定功能，而ppmoney统一将这类功能划分在我的模块，而发现模块放置的都是产品</w:t>
      </w:r>
      <w:r>
        <w:rPr>
          <w:rFonts w:hint="eastAsia"/>
          <w:lang w:eastAsia="zh-CN"/>
        </w:rPr>
        <w:t>经常变动</w:t>
      </w:r>
      <w:r>
        <w:rPr>
          <w:rFonts w:hint="eastAsia"/>
        </w:rPr>
        <w:t>的推荐功能，更加符合用户习惯。</w:t>
      </w:r>
    </w:p>
    <w:p>
      <w:pPr>
        <w:ind w:left="105"/>
      </w:pPr>
    </w:p>
    <w:p>
      <w:pPr>
        <w:ind w:left="105"/>
      </w:pPr>
    </w:p>
    <w:p>
      <w:pPr>
        <w:numPr>
          <w:ilvl w:val="0"/>
          <w:numId w:val="3"/>
        </w:numPr>
        <w:ind w:left="105"/>
      </w:pPr>
      <w:r>
        <w:rPr>
          <w:rFonts w:hint="eastAsia"/>
        </w:rPr>
        <w:t>核心功能对比</w:t>
      </w:r>
    </w:p>
    <w:p>
      <w:pPr>
        <w:numPr>
          <w:ilvl w:val="0"/>
          <w:numId w:val="4"/>
        </w:numPr>
        <w:ind w:left="420" w:firstLine="420"/>
      </w:pPr>
      <w:r>
        <w:rPr>
          <w:rFonts w:hint="eastAsia"/>
        </w:rPr>
        <w:t>登录</w:t>
      </w:r>
    </w:p>
    <w:p/>
    <w:p/>
    <w:p/>
    <w:p>
      <w:r>
        <w:drawing>
          <wp:inline distT="0" distB="0" distL="114300" distR="114300">
            <wp:extent cx="1743710" cy="3623310"/>
            <wp:effectExtent l="0" t="0" r="8890" b="15240"/>
            <wp:docPr id="12" name="图片 12" descr="c986354ebf72a8a805b3cf75cb0ab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986354ebf72a8a805b3cf75cb0ab9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2440" cy="3621405"/>
            <wp:effectExtent l="0" t="0" r="10160" b="17145"/>
            <wp:docPr id="15" name="图片 15" descr="1adabb7ab8fa61a6cac59414b594e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adabb7ab8fa61a6cac59414b594e7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5615" cy="3630930"/>
            <wp:effectExtent l="0" t="0" r="6985" b="7620"/>
            <wp:docPr id="16" name="图片 16" descr="1adabb7ab8fa61a6cac59414b594e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adabb7ab8fa61a6cac59414b594e7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友金所登录页</w:t>
      </w:r>
    </w:p>
    <w:p>
      <w:pPr>
        <w:jc w:val="center"/>
      </w:pPr>
    </w:p>
    <w:p>
      <w:r>
        <w:drawing>
          <wp:inline distT="0" distB="0" distL="114300" distR="114300">
            <wp:extent cx="1741170" cy="3618230"/>
            <wp:effectExtent l="9525" t="9525" r="20955" b="10795"/>
            <wp:docPr id="13" name="图片 13" descr="9c9b1979e1e81751ab00bef17a9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c9b1979e1e81751ab00bef17a9575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04975" cy="3618230"/>
            <wp:effectExtent l="0" t="0" r="9525" b="1270"/>
            <wp:docPr id="17" name="图片 17" descr="2dd3c251efedd06e6dfa725703f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dd3c251efedd06e6dfa725703f3415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1805" cy="3618230"/>
            <wp:effectExtent l="0" t="0" r="10795" b="1270"/>
            <wp:docPr id="18" name="图片 18" descr="2cc80c8638431dbe1b75ceb7cfcf6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cc80c8638431dbe1b75ceb7cfcf6a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ppmoney登录页</w:t>
      </w:r>
    </w:p>
    <w:p/>
    <w:p/>
    <w:p>
      <w:r>
        <w:rPr>
          <w:rFonts w:hint="eastAsia"/>
        </w:rPr>
        <w:t>共同点：</w:t>
      </w:r>
    </w:p>
    <w:p>
      <w:r>
        <w:rPr>
          <w:rFonts w:hint="eastAsia"/>
        </w:rPr>
        <w:t>都支持账号密码、验证码登录方式</w:t>
      </w:r>
    </w:p>
    <w:p>
      <w:r>
        <w:rPr>
          <w:rFonts w:hint="eastAsia"/>
        </w:rPr>
        <w:t>差异点：</w:t>
      </w:r>
    </w:p>
    <w:p>
      <w:r>
        <w:rPr>
          <w:rFonts w:hint="eastAsia"/>
        </w:rPr>
        <w:t>- 友金所支持指纹登录，PPmoney支持手势密码登录</w:t>
      </w:r>
    </w:p>
    <w:p>
      <w:r>
        <w:rPr>
          <w:rFonts w:hint="eastAsia"/>
        </w:rPr>
        <w:t>- 友金所支持第三方微信登录，ppmoney不支持第三方登录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- 友金所登录成功后，退出APP界面，除非用户主动退出账户，否则登录态会一直保持，</w:t>
      </w:r>
      <w:r>
        <w:rPr>
          <w:rFonts w:hint="eastAsia"/>
          <w:lang w:eastAsia="zh-CN"/>
        </w:rPr>
        <w:t>用户再次点击</w:t>
      </w:r>
      <w:r>
        <w:rPr>
          <w:rFonts w:hint="eastAsia"/>
          <w:lang w:val="en-US" w:eastAsia="zh-CN"/>
        </w:rPr>
        <w:t>app可直接进入，</w:t>
      </w:r>
      <w:r>
        <w:rPr>
          <w:rFonts w:hint="eastAsia"/>
        </w:rPr>
        <w:t>而PPmoney只要用户离开App界面，再次进入app时则要求</w:t>
      </w:r>
      <w:r>
        <w:rPr>
          <w:rFonts w:hint="eastAsia"/>
          <w:lang w:eastAsia="zh-CN"/>
        </w:rPr>
        <w:t>输入验证码或手势密码验证身份</w:t>
      </w:r>
    </w:p>
    <w:p/>
    <w:p>
      <w:r>
        <w:rPr>
          <w:rFonts w:hint="eastAsia"/>
        </w:rPr>
        <w:t>由于金融理财产品涉及到交易、提现这类涉及钱的操作，因此这类产品较之其他产品对账户的安全防范会更为重要。从上面的比较可以看出，ppmoney在登录的风险防范方面比友金所做的更好，但不妨将登录态维持在1天或者7天，否则用户短时间内的频繁登录会导致用户产生不耐烦的心理，而友金所一直维持登录态和支持第三方登录的功能，显然是对账户安全防范意识不够。不过从另一方面来说，友金所的指纹解锁登录功能比ppmoney的手势密码更为便捷，不仅可以减少登录时间，也可以防范用户忘记密码的情况</w:t>
      </w:r>
    </w:p>
    <w:p/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出借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P2P资金端产品的核心流程是出借流程，在众多P2P资金端产品中，出借流程在整体步骤上大同小异，接下来本文将从两款产品的出借功能上的亮点和可改进点进行分析。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友金所出借流程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8261985"/>
            <wp:effectExtent l="0" t="0" r="12700" b="5715"/>
            <wp:docPr id="26" name="图片 26" descr="投资流程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投资流程 (2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2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41170" cy="3618230"/>
            <wp:effectExtent l="0" t="0" r="11430" b="1270"/>
            <wp:docPr id="14" name="图片 14" descr="43f993ae9a26acd5c6c41cadc8de9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3f993ae9a26acd5c6c41cadc8de9f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41805" cy="3618230"/>
            <wp:effectExtent l="0" t="0" r="10795" b="1270"/>
            <wp:docPr id="21" name="图片 21" descr="09e6b48531c522eb49104e89ef5d7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9e6b48531c522eb49104e89ef5d7a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41170" cy="3618230"/>
            <wp:effectExtent l="0" t="0" r="11430" b="1270"/>
            <wp:docPr id="24" name="图片 24" descr="4adf6b39601764f39ac279f917070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adf6b39601764f39ac279f917070b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亮点：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有理财标的加入记录，用户可查看已出借的其他人的加入情况，增加用户出借信心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对于未到出借时间的标，用户可设置开始前五分钟提醒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不足点：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判断用户是否可投某种类型的理财标，应该在用户加入确认前判断并提示，不应在确认后进行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用户余额不足时，用户去充值后可直接跳转回投资页面，不必加入充值成功中转页，减少投资步骤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许多出借标的需要用户去抢，到了规定时间才发放有限标的，出借门槛略高</w:t>
      </w:r>
    </w:p>
    <w:p>
      <w:pPr>
        <w:numPr>
          <w:ilvl w:val="0"/>
          <w:numId w:val="2"/>
        </w:numPr>
        <w:ind w:left="825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ppMoney出借流程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25085" cy="8707755"/>
            <wp:effectExtent l="0" t="0" r="18415" b="17145"/>
            <wp:docPr id="27" name="图片 27" descr="ppmoney出借流程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ppmoney出借流程图 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870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亮点：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当用户的账户余额不足以出借时，用户不需要先跳转到充值页完成充值后，再重新选择标的投资。充值和投资在同一步完成，对于余额不足的用户来说，整个投资流程没有被充值打断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页面右上角有拨打客服电话按钮，当用户在出借流程遇到困难想要帮助时，不需跳出页面寻找客服入口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 标的数量充足，用户几乎随时可投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不足点：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 对出借标的当前进度披露不够，可针对标的增加用户加入记录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以上分析可以看出，在投资流程中，两款产品都各有优缺点，PPmoney比友金所的出借流程更加连续，更易形成闭环，用户不易跳出。另外，从出借标数量发放来看，友金所在资金端比PPmoney要保守得多，每天都限量发放出借标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.信息披露</w:t>
      </w:r>
    </w:p>
    <w:p>
      <w:r>
        <w:rPr>
          <w:rFonts w:hint="eastAsia"/>
        </w:rPr>
        <w:t>互联网金融的安全性、收益率和流动性</w:t>
      </w:r>
      <w:r>
        <w:rPr>
          <w:rFonts w:hint="eastAsia"/>
          <w:lang w:eastAsia="zh-CN"/>
        </w:rPr>
        <w:t>是用户最为注重三大业务特性</w:t>
      </w:r>
      <w:r>
        <w:rPr>
          <w:rFonts w:hint="eastAsia"/>
        </w:rPr>
        <w:t>，特别对于</w:t>
      </w:r>
      <w:r>
        <w:t>P</w:t>
      </w:r>
      <w:r>
        <w:rPr>
          <w:rFonts w:hint="eastAsia"/>
        </w:rPr>
        <w:t>2P理财产品来说，产品的安全性被大部分用户视为最重要的指标。产品的安全性可以从多方面来体现，其中平台的运营情况的披露度可以从很大程度上反应产品的安全性，比如平台当前的借款余额、逾期金额和逾期笔数等，因为P2P网贷平台的理财产品大多都是债券组合，出借人购买其理财产品相当于购买了多个借款人的债权组合，如果p2p平台可以对这些数据做到透明化，实时披露给用户，那么用户的投资信心会大大增加。下面我将分析两款产品的信息披露模块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1740535" cy="3617595"/>
            <wp:effectExtent l="19050" t="0" r="0" b="0"/>
            <wp:docPr id="23" name="图片 9" descr="C:\Users\ADMINI~1\AppData\Local\Temp\WeChat Files\c1bc3e1f6620ef5f2efe20c4dd9c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C:\Users\ADMINI~1\AppData\Local\Temp\WeChat Files\c1bc3e1f6620ef5f2efe20c4dd9c55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0826" cy="36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w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1745615" cy="3628390"/>
            <wp:effectExtent l="19050" t="0" r="6577" b="0"/>
            <wp:docPr id="30" name="图片 14" descr="C:\Users\ADMINI~1\AppData\Local\Temp\WeChat Files\fa3823e01d1c1c1b8df7ba915fd1c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 descr="C:\Users\ADMINI~1\AppData\Local\Temp\WeChat Files\fa3823e01d1c1c1b8df7ba915fd1cc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023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w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1635760" cy="3618230"/>
            <wp:effectExtent l="19050" t="0" r="2455" b="0"/>
            <wp:docPr id="31" name="图片 15" descr="C:\Users\ADMINI~1\AppData\Local\Temp\WeChat Files\24fa883e52eba0bb1d0ff64224f22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 descr="C:\Users\ADMINI~1\AppData\Local\Temp\WeChat Files\24fa883e52eba0bb1d0ff64224f223c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4597" cy="361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友金所信息模块</w:t>
      </w:r>
    </w:p>
    <w:p>
      <w:r>
        <w:drawing>
          <wp:inline distT="0" distB="0" distL="0" distR="0">
            <wp:extent cx="1745615" cy="3628390"/>
            <wp:effectExtent l="19050" t="0" r="6577" b="0"/>
            <wp:docPr id="33" name="图片 17" descr="C:\Users\ADMINI~1\AppData\Local\Temp\WeChat Files\46d317cd8cecdd38ed651e1d1dc4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 descr="C:\Users\ADMINI~1\AppData\Local\Temp\WeChat Files\46d317cd8cecdd38ed651e1d1dc488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023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drawing>
          <wp:inline distT="0" distB="0" distL="0" distR="0">
            <wp:extent cx="1745615" cy="3628390"/>
            <wp:effectExtent l="19050" t="0" r="6577" b="0"/>
            <wp:docPr id="34" name="图片 18" descr="C:\Users\ADMINI~1\AppData\Local\Temp\WeChat Files\b51d5a58aa871c81144cd8680584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 descr="C:\Users\ADMINI~1\AppData\Local\Temp\WeChat Files\b51d5a58aa871c81144cd868058416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023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57985" cy="3629025"/>
            <wp:effectExtent l="19050" t="0" r="0" b="0"/>
            <wp:docPr id="36" name="图片 20" descr="C:\Users\ADMINI~1\AppData\Local\Temp\WeChat Files\8a134cb2d573245e37571175006f5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 descr="C:\Users\ADMINI~1\AppData\Local\Temp\WeChat Files\8a134cb2d573245e37571175006f5d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942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PPmoney信息披露</w:t>
      </w:r>
    </w:p>
    <w:p/>
    <w:p>
      <w:pPr>
        <w:rPr>
          <w:rFonts w:hint="eastAsia"/>
        </w:rPr>
      </w:pPr>
      <w:r>
        <w:rPr>
          <w:rFonts w:hint="eastAsia"/>
        </w:rPr>
        <w:t>共同点：都披露了平台的累计现金交易额和用户人数</w:t>
      </w:r>
    </w:p>
    <w:p>
      <w:pPr>
        <w:rPr>
          <w:rFonts w:hint="eastAsia"/>
        </w:rPr>
      </w:pPr>
      <w:r>
        <w:rPr>
          <w:rFonts w:hint="eastAsia"/>
        </w:rPr>
        <w:t>差异点：友金所的信息披露较之PPmoney更为细化，不仅每个月都生成了运营数据报告，而且披露了多处关键信息，如当月借款余额、借款余额笔数、逾期笔数等，这些数据都能直接反应平台借款端的坏账率和借款人质量，而PPmoney披露的数据则更为笼统，只是罗列了一些数据概况，无论从数据维度和深度来比较都不如友金所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四、社区模块对比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投资理财的业态决定了此类产品不是个高频使用的APP，两款产品都增加了辅助模块来提高用户活跃度和粘性，比如友金所的友好文模块，PPMoney的p友圈。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友金所友好文资讯模块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友好文分成三大板块，分别是话题pk、友头条、友课堂，如下所示：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29" name="图片 29" descr="7359bc8758f25cfd68abf3f312ad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359bc8758f25cfd68abf3f312adcd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41170" cy="3618230"/>
            <wp:effectExtent l="0" t="0" r="11430" b="1270"/>
            <wp:docPr id="37" name="图片 37" descr="a8c0818759dd0f4264ff7104271b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a8c0818759dd0f4264ff7104271b8a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32280" cy="3599815"/>
            <wp:effectExtent l="0" t="0" r="1270" b="635"/>
            <wp:docPr id="35" name="图片 35" descr="208c2fd860c118c818ae1db6d15d3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8c2fd860c118c818ae1db6d15d3c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68570" cy="4940300"/>
            <wp:effectExtent l="0" t="0" r="17780" b="12700"/>
            <wp:docPr id="28" name="图片 28" descr="友好文组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友好文组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话题pk： 话题pk是整个友好文模块的核心功能，这个模块下发布的文章都是具有热度的争议性实事文章，每篇文章末尾抛出两种观点，用户若想投票，则需要花费对应的积分，在投票截止后，投票人数多的观点为胜出观点，获胜的用户可获得积分奖励，积分奖励数由用户最初花费的积分决定，花费越多，则胜出后奖励越多。话题pk功能抓住了用户的赌博心理，争议性的文章也能激发用户评论和互动，可以看到，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友头条： 友头条类似于友金所的新闻版块，当友金所有了比较重大的新闻，如“友金普惠荣获深圳前海经济贡献突出企业奖”这一类公告，从数据上来看，友头条的每一篇文章的阅读量几乎在1000-5000之间，可见用户对这一类文章不是很感兴趣，但是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友课堂：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友课堂是一个金融视频课堂，这个模块只上架了三个课程，用户需要花费一定的积分解锁才能观看所有视频，从P2P产品的用户群体来看，用户很大一部分都是一二线城市的年轻白领，这类人群注重个人提升，学习能力强，如果能在金融教育这一方面进行耕耘，在市面上p2p产品极度雷同的状况下挖掘此类差异点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（2）ppMoney  P友圈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整体来看，ppMoney的p友圈比友金所的友好文模块功能更为复杂多样化，友好文模块仅包含了话题文章、友头条、友课堂三类，该模块的核心功能在与用户对话题文章进行积分投票pk，而ppmoney</w:t>
      </w:r>
    </w:p>
    <w:p>
      <w:pPr>
        <w:ind w:left="105"/>
      </w:pPr>
      <w:r>
        <w:rPr>
          <w:rFonts w:hint="eastAsia"/>
        </w:rPr>
        <w:t>（3）特色功能对比</w:t>
      </w:r>
    </w:p>
    <w:p>
      <w:pPr>
        <w:ind w:left="105"/>
        <w:rPr>
          <w:rFonts w:hint="eastAsia"/>
        </w:rPr>
      </w:pPr>
      <w:r>
        <w:rPr>
          <w:rFonts w:hint="eastAsia"/>
        </w:rPr>
        <w:t>（4）UI 风格对比</w:t>
      </w:r>
    </w:p>
    <w:p>
      <w:pPr>
        <w:ind w:left="105" w:firstLine="419" w:firstLineChars="0"/>
        <w:rPr>
          <w:rFonts w:hint="eastAsia"/>
        </w:rPr>
      </w:pPr>
      <w:bookmarkStart w:id="0" w:name="_GoBack"/>
      <w:bookmarkEnd w:id="0"/>
    </w:p>
    <w:p>
      <w:pPr>
        <w:ind w:left="105"/>
        <w:rPr>
          <w:rFonts w:hint="eastAsia"/>
        </w:rPr>
      </w:pPr>
    </w:p>
    <w:p>
      <w:pPr>
        <w:ind w:left="105"/>
      </w:pPr>
      <w:r>
        <w:rPr>
          <w:rFonts w:hint="eastAsia"/>
        </w:rPr>
        <w:t>4.2 页面结构</w:t>
      </w:r>
    </w:p>
    <w:p/>
    <w:p>
      <w:pPr>
        <w:numPr>
          <w:ilvl w:val="0"/>
          <w:numId w:val="1"/>
        </w:numPr>
      </w:pPr>
      <w:r>
        <w:rPr>
          <w:rFonts w:hint="eastAsia"/>
        </w:rPr>
        <w:t>UI 风格对比</w:t>
      </w:r>
    </w:p>
    <w:p>
      <w:pPr>
        <w:numPr>
          <w:ilvl w:val="0"/>
          <w:numId w:val="1"/>
        </w:numPr>
      </w:pPr>
      <w:r>
        <w:rPr>
          <w:rFonts w:hint="eastAsia"/>
        </w:rPr>
        <w:t>运营及推广策略</w:t>
      </w:r>
    </w:p>
    <w:p>
      <w:pPr>
        <w:numPr>
          <w:ilvl w:val="0"/>
          <w:numId w:val="0"/>
        </w:numPr>
        <w:ind w:left="105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1"/>
        </w:numPr>
      </w:pPr>
      <w:r>
        <w:rPr>
          <w:rFonts w:hint="eastAsia"/>
        </w:rPr>
        <w:t>产品优缺点</w:t>
      </w:r>
    </w:p>
    <w:p>
      <w:pPr>
        <w:numPr>
          <w:ilvl w:val="0"/>
          <w:numId w:val="1"/>
        </w:numPr>
      </w:pPr>
      <w:r>
        <w:rPr>
          <w:rFonts w:hint="eastAsia"/>
        </w:rPr>
        <w:t>总结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A6DAB2"/>
    <w:multiLevelType w:val="singleLevel"/>
    <w:tmpl w:val="BCA6DA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629C552"/>
    <w:multiLevelType w:val="singleLevel"/>
    <w:tmpl w:val="E629C552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E6E7DD95"/>
    <w:multiLevelType w:val="singleLevel"/>
    <w:tmpl w:val="E6E7DD9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12F035B6"/>
    <w:multiLevelType w:val="multilevel"/>
    <w:tmpl w:val="12F035B6"/>
    <w:lvl w:ilvl="0" w:tentative="0">
      <w:start w:val="1"/>
      <w:numFmt w:val="decimal"/>
      <w:lvlText w:val="（%1）"/>
      <w:lvlJc w:val="left"/>
      <w:pPr>
        <w:ind w:left="82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45" w:hanging="420"/>
      </w:pPr>
    </w:lvl>
    <w:lvl w:ilvl="2" w:tentative="0">
      <w:start w:val="1"/>
      <w:numFmt w:val="lowerRoman"/>
      <w:lvlText w:val="%3."/>
      <w:lvlJc w:val="right"/>
      <w:pPr>
        <w:ind w:left="1365" w:hanging="420"/>
      </w:pPr>
    </w:lvl>
    <w:lvl w:ilvl="3" w:tentative="0">
      <w:start w:val="1"/>
      <w:numFmt w:val="decimal"/>
      <w:lvlText w:val="%4."/>
      <w:lvlJc w:val="left"/>
      <w:pPr>
        <w:ind w:left="1785" w:hanging="420"/>
      </w:pPr>
    </w:lvl>
    <w:lvl w:ilvl="4" w:tentative="0">
      <w:start w:val="1"/>
      <w:numFmt w:val="lowerLetter"/>
      <w:lvlText w:val="%5)"/>
      <w:lvlJc w:val="left"/>
      <w:pPr>
        <w:ind w:left="2205" w:hanging="420"/>
      </w:pPr>
    </w:lvl>
    <w:lvl w:ilvl="5" w:tentative="0">
      <w:start w:val="1"/>
      <w:numFmt w:val="lowerRoman"/>
      <w:lvlText w:val="%6."/>
      <w:lvlJc w:val="right"/>
      <w:pPr>
        <w:ind w:left="2625" w:hanging="420"/>
      </w:pPr>
    </w:lvl>
    <w:lvl w:ilvl="6" w:tentative="0">
      <w:start w:val="1"/>
      <w:numFmt w:val="decimal"/>
      <w:lvlText w:val="%7."/>
      <w:lvlJc w:val="left"/>
      <w:pPr>
        <w:ind w:left="3045" w:hanging="420"/>
      </w:pPr>
    </w:lvl>
    <w:lvl w:ilvl="7" w:tentative="0">
      <w:start w:val="1"/>
      <w:numFmt w:val="lowerLetter"/>
      <w:lvlText w:val="%8)"/>
      <w:lvlJc w:val="left"/>
      <w:pPr>
        <w:ind w:left="3465" w:hanging="420"/>
      </w:pPr>
    </w:lvl>
    <w:lvl w:ilvl="8" w:tentative="0">
      <w:start w:val="1"/>
      <w:numFmt w:val="lowerRoman"/>
      <w:lvlText w:val="%9."/>
      <w:lvlJc w:val="right"/>
      <w:pPr>
        <w:ind w:left="3885" w:hanging="420"/>
      </w:pPr>
    </w:lvl>
  </w:abstractNum>
  <w:abstractNum w:abstractNumId="4">
    <w:nsid w:val="2B653F26"/>
    <w:multiLevelType w:val="singleLevel"/>
    <w:tmpl w:val="2B653F26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3900220F"/>
    <w:multiLevelType w:val="singleLevel"/>
    <w:tmpl w:val="3900220F"/>
    <w:lvl w:ilvl="0" w:tentative="0">
      <w:start w:val="1"/>
      <w:numFmt w:val="chineseCounting"/>
      <w:suff w:val="nothing"/>
      <w:lvlText w:val="%1、"/>
      <w:lvlJc w:val="left"/>
      <w:pPr>
        <w:ind w:left="105" w:firstLine="0"/>
      </w:pPr>
      <w:rPr>
        <w:rFonts w:hint="eastAsia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B0B69"/>
    <w:rsid w:val="00033302"/>
    <w:rsid w:val="00097D0F"/>
    <w:rsid w:val="000A4C9D"/>
    <w:rsid w:val="000C6E88"/>
    <w:rsid w:val="0021030B"/>
    <w:rsid w:val="006D38FF"/>
    <w:rsid w:val="007C1115"/>
    <w:rsid w:val="008317CA"/>
    <w:rsid w:val="008320A5"/>
    <w:rsid w:val="008B31A9"/>
    <w:rsid w:val="008D290B"/>
    <w:rsid w:val="009360FB"/>
    <w:rsid w:val="00964660"/>
    <w:rsid w:val="009E589A"/>
    <w:rsid w:val="00B93C90"/>
    <w:rsid w:val="00D338B2"/>
    <w:rsid w:val="00DA66A9"/>
    <w:rsid w:val="00DB0B69"/>
    <w:rsid w:val="00DB14BC"/>
    <w:rsid w:val="00DE075B"/>
    <w:rsid w:val="00F45354"/>
    <w:rsid w:val="03290ABC"/>
    <w:rsid w:val="06BB6AD4"/>
    <w:rsid w:val="0E870BF6"/>
    <w:rsid w:val="270674CA"/>
    <w:rsid w:val="2F852161"/>
    <w:rsid w:val="3185618B"/>
    <w:rsid w:val="32BD4367"/>
    <w:rsid w:val="339537F0"/>
    <w:rsid w:val="34B923BE"/>
    <w:rsid w:val="360B5F54"/>
    <w:rsid w:val="36B149BD"/>
    <w:rsid w:val="3C916C38"/>
    <w:rsid w:val="444D50C6"/>
    <w:rsid w:val="576328E1"/>
    <w:rsid w:val="70C7137E"/>
    <w:rsid w:val="72E0742C"/>
    <w:rsid w:val="7B3D2011"/>
    <w:rsid w:val="7B4802F0"/>
    <w:rsid w:val="7E2B077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qFormat/>
    <w:uiPriority w:val="0"/>
    <w:rPr>
      <w:sz w:val="18"/>
      <w:szCs w:val="18"/>
    </w:rPr>
  </w:style>
  <w:style w:type="paragraph" w:styleId="3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批注框文本 Char"/>
    <w:basedOn w:val="7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0">
    <w:name w:val="页眉 Char"/>
    <w:basedOn w:val="7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2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A78FFE-4818-4F4D-AF7A-9260DCCC596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9</Pages>
  <Words>420</Words>
  <Characters>2398</Characters>
  <Lines>19</Lines>
  <Paragraphs>5</Paragraphs>
  <TotalTime>17</TotalTime>
  <ScaleCrop>false</ScaleCrop>
  <LinksUpToDate>false</LinksUpToDate>
  <CharactersWithSpaces>2813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2019-05-29T09:43:25Z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