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P2P产品竞品分析报告：友金所、ppmoney、桔子理财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调研目的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通过调研两款P2P产品的行业背景、用户群体、产品结构、核心功能、运营策略来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行业现状</w:t>
      </w:r>
    </w:p>
    <w:p>
      <w:pPr>
        <w:numPr>
          <w:numId w:val="0"/>
        </w:numPr>
        <w:ind w:left="105" w:leftChars="0" w:firstLine="41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2P借贷公司在我国最早始于2007年，但是由于我国个人征信体系不完善，所以行业的发展一直不瘟不火，2013年借助“互联翁金融元年”概念，P2P借贷行业迎来爆发性增长，但随之而来的是缺乏监管下的公司跑路、骗钱等行业乱象，2015年来，国家出台各种监管策略管制P2P行业，2018年出现大面积P2P暴雷，导致大面积恐慌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"http://baike.wdzj.com/doc-view-3042.html" \t "https://bbs.wdzj.com/_blank"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出借人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信心受挫。但与此同时，一些稳健的平台依然屹立不倒，从另一方面来说，这是一个良币驱逐劣币的过程，促使平台越来越规范化，投资者的风险月降越低，对于投资者以及优秀的平台来说也是一件好事。截至2019年4月底，P2P网贷行业累计成交量为8.42万亿元，整个行业的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图 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P2P网贷行业成交量走势</w:t>
      </w:r>
    </w:p>
    <w:p>
      <w:pPr>
        <w:numPr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175" cy="32861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 w:firstLine="419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8"/>
          <w:szCs w:val="18"/>
          <w:shd w:val="clear" w:fill="FFFFFF"/>
        </w:rPr>
        <w:t>数据来源：网贷之家研究中心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竞品选择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P2P总体上是一个大市场，理财产品的种类也非常多，今天选取主打活期理财产品的P2P平台，本文选取华南地区两家头部P2P平台友金所和万惠旗下的投资理财APP友金所和ppmoney出借来进行竞品分析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友金所</w:t>
      </w:r>
    </w:p>
    <w:p>
      <w:pPr>
        <w:numPr>
          <w:numId w:val="0"/>
        </w:numPr>
        <w:ind w:left="105" w:leftChars="0" w:firstLine="41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Ppmoney出借</w:t>
      </w:r>
    </w:p>
    <w:p>
      <w:pPr>
        <w:numPr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="105" w:leftChars="0" w:firstLine="419" w:firstLine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306195" cy="1306195"/>
            <wp:effectExtent l="0" t="0" r="825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62050" cy="1162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ppmoney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</w:t>
      </w:r>
    </w:p>
    <w:tbl>
      <w:tblPr>
        <w:tblStyle w:val="3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31"/>
        <w:gridCol w:w="931"/>
        <w:gridCol w:w="930"/>
        <w:gridCol w:w="931"/>
        <w:gridCol w:w="932"/>
        <w:gridCol w:w="932"/>
        <w:gridCol w:w="930"/>
        <w:gridCol w:w="932"/>
        <w:gridCol w:w="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74" w:hRule="atLeast"/>
        </w:trPr>
        <w:tc>
          <w:tcPr>
            <w:tcW w:w="9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</w:t>
            </w:r>
          </w:p>
        </w:tc>
        <w:tc>
          <w:tcPr>
            <w:tcW w:w="9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成立时间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股东背景</w:t>
            </w:r>
          </w:p>
        </w:tc>
        <w:tc>
          <w:tcPr>
            <w:tcW w:w="9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金融产品</w:t>
            </w:r>
          </w:p>
        </w:tc>
        <w:tc>
          <w:tcPr>
            <w:tcW w:w="93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底层资产</w:t>
            </w:r>
          </w:p>
        </w:tc>
        <w:tc>
          <w:tcPr>
            <w:tcW w:w="9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用户数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成交量</w:t>
            </w:r>
          </w:p>
        </w:tc>
        <w:tc>
          <w:tcPr>
            <w:tcW w:w="9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资金托管</w:t>
            </w:r>
          </w:p>
        </w:tc>
        <w:tc>
          <w:tcPr>
            <w:tcW w:w="9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平均年化利率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21" w:hRule="atLeast"/>
        </w:trPr>
        <w:tc>
          <w:tcPr>
            <w:tcW w:w="9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友金所</w:t>
            </w:r>
          </w:p>
        </w:tc>
        <w:tc>
          <w:tcPr>
            <w:tcW w:w="9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2014年7月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上市系（用友）</w:t>
            </w:r>
          </w:p>
        </w:tc>
        <w:tc>
          <w:tcPr>
            <w:tcW w:w="9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自动投标工具、安心投</w:t>
            </w:r>
          </w:p>
        </w:tc>
        <w:tc>
          <w:tcPr>
            <w:tcW w:w="93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房贷、车贷、公积金贷、企业贷</w:t>
            </w:r>
          </w:p>
        </w:tc>
        <w:tc>
          <w:tcPr>
            <w:tcW w:w="9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180万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464亿</w:t>
            </w:r>
          </w:p>
        </w:tc>
        <w:tc>
          <w:tcPr>
            <w:tcW w:w="9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银行存管（上海银行）</w:t>
            </w:r>
          </w:p>
        </w:tc>
        <w:tc>
          <w:tcPr>
            <w:tcW w:w="9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8.2%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39" w:hRule="atLeast"/>
        </w:trPr>
        <w:tc>
          <w:tcPr>
            <w:tcW w:w="9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ppmoney</w:t>
            </w:r>
          </w:p>
        </w:tc>
        <w:tc>
          <w:tcPr>
            <w:tcW w:w="9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2012年12月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风投系（万惠）</w:t>
            </w:r>
          </w:p>
        </w:tc>
        <w:tc>
          <w:tcPr>
            <w:tcW w:w="9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自动投标工具、散标</w:t>
            </w:r>
          </w:p>
        </w:tc>
        <w:tc>
          <w:tcPr>
            <w:tcW w:w="9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车贷、企业贷消费分期等</w:t>
            </w:r>
          </w:p>
        </w:tc>
        <w:tc>
          <w:tcPr>
            <w:tcW w:w="9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1224亿</w:t>
            </w:r>
          </w:p>
        </w:tc>
        <w:tc>
          <w:tcPr>
            <w:tcW w:w="9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银行存管（厦门银行）</w:t>
            </w:r>
          </w:p>
        </w:tc>
        <w:tc>
          <w:tcPr>
            <w:tcW w:w="9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27"/>
                <w:szCs w:val="27"/>
                <w:shd w:val="clear" w:fill="FFFFFF"/>
              </w:rPr>
              <w:t>9.44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66" w:hRule="atLeast"/>
        </w:trPr>
        <w:tc>
          <w:tcPr>
            <w:tcW w:w="93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桔子理财</w:t>
            </w:r>
          </w:p>
        </w:tc>
        <w:tc>
          <w:tcPr>
            <w:tcW w:w="9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2014年7月</w:t>
            </w:r>
          </w:p>
        </w:tc>
        <w:tc>
          <w:tcPr>
            <w:tcW w:w="9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风投系（万惠）</w:t>
            </w:r>
          </w:p>
        </w:tc>
        <w:tc>
          <w:tcPr>
            <w:tcW w:w="9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2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目标用户分析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产品体验</w:t>
      </w:r>
    </w:p>
    <w:p>
      <w:pPr>
        <w:numPr>
          <w:ilvl w:val="0"/>
          <w:numId w:val="2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产品框架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8420" cy="6737350"/>
            <wp:effectExtent l="0" t="0" r="5080" b="6350"/>
            <wp:docPr id="9" name="图片 9" descr="友金所功能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友金所功能结构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673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47690" cy="5420995"/>
            <wp:effectExtent l="0" t="0" r="10160" b="8255"/>
            <wp:docPr id="11" name="图片 11" descr="PPmoney出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Pmoney出借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从产品结构图上来看，在产品架构大方向上，两者相差不大，友金所分为四大模块：首页、出借、发现、我的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而PPmoney分为五大模块：首页、产品、p友圈、发现、我的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较之友金所，PPmoney更为注重营造社区文化，因此多了一个社区模块：p友圈，而友金所具有电商模块：友好物，虽然此模块未放置在第一层级，但先后在首页和发现两大板块都有友好物入口。因此可以看出，虽然两者产品定位类似，但ppmoney偏社区，友金所电商属性更强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从图中可以看到，友金所的功能划分比ppmoney更为混乱，例如在发现模块，友金所涵盖了积分中心、消息中心、我的客服这一类固定功能，而ppmoney统一将这类功能划分在我的模块，而发现模块放置的都是产品的推荐功能，更加符合用户习惯。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核心功能对比</w:t>
      </w:r>
    </w:p>
    <w:p>
      <w:pPr>
        <w:widowControl w:val="0"/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43710" cy="3623310"/>
            <wp:effectExtent l="0" t="0" r="8890" b="15240"/>
            <wp:docPr id="12" name="图片 12" descr="c986354ebf72a8a805b3cf75cb0a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986354ebf72a8a805b3cf75cb0ab9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7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42440" cy="3621405"/>
            <wp:effectExtent l="0" t="0" r="10160" b="17145"/>
            <wp:docPr id="15" name="图片 15" descr="1adabb7ab8fa61a6cac59414b594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adabb7ab8fa61a6cac59414b594e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45615" cy="3630930"/>
            <wp:effectExtent l="0" t="0" r="6985" b="7620"/>
            <wp:docPr id="16" name="图片 16" descr="1adabb7ab8fa61a6cac59414b594e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adabb7ab8fa61a6cac59414b594e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友金所登录页</w:t>
      </w:r>
    </w:p>
    <w:p>
      <w:pPr>
        <w:widowControl w:val="0"/>
        <w:numPr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41170" cy="3618230"/>
            <wp:effectExtent l="9525" t="9525" r="20955" b="10795"/>
            <wp:docPr id="13" name="图片 13" descr="9c9b1979e1e81751ab00bef17a95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c9b1979e1e81751ab00bef17a957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361823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04975" cy="3618230"/>
            <wp:effectExtent l="0" t="0" r="9525" b="1270"/>
            <wp:docPr id="17" name="图片 17" descr="2dd3c251efedd06e6dfa725703f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dd3c251efedd06e6dfa725703f34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41805" cy="3618230"/>
            <wp:effectExtent l="0" t="0" r="10795" b="1270"/>
            <wp:docPr id="18" name="图片 18" descr="2cc80c8638431dbe1b75ceb7cfcf6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cc80c8638431dbe1b75ceb7cfcf6a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ppmoney登录页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共同点：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都支持账号密码、验证码登录方式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差异点：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友金所支持指纹登录，PPmoney支持手势密码登录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友金所支持第三方微信登录，ppmoney不支持第三方登录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友金所登录成功后，退出APP界面，除非用户主动退出账户，否则登录态会一直保持，而PPmoney只要用户离开App界面，再次进入app时则要求重新登录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金融理财产品涉及到交易、提现这类涉及钱的操作，因此这类产品较之其他产品对账户的安全防范会更为重要。从上面的比较可以看出，ppmoney在登录的风险防范方面比友金所做的更好，但不妨将登录态维持在1天或者7天，否则用户短时间内的频繁登录会导致用户产生不耐烦的心理，而友金所一直维持登录态和支持第三方登录的功能，显然是对账户安全防范意识不够。不过从另一方面来说，友金所的指纹解锁登录功能比ppmoney的手势密码更为便捷，不仅可以减少登录时间，也可以防范用户忘记密码的情况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2.投资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（3）特色功能对比</w:t>
      </w:r>
    </w:p>
    <w:p>
      <w:pPr>
        <w:numPr>
          <w:numId w:val="0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（4）UI 风格对比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页面结构</w:t>
      </w: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4.3核心功能</w:t>
      </w:r>
    </w:p>
    <w:p>
      <w:pPr>
        <w:numPr>
          <w:ilvl w:val="0"/>
          <w:numId w:val="4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核心功能</w:t>
      </w:r>
    </w:p>
    <w:p>
      <w:pPr>
        <w:numPr>
          <w:ilvl w:val="0"/>
          <w:numId w:val="5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投资</w:t>
      </w:r>
    </w:p>
    <w:p>
      <w:pPr>
        <w:numPr>
          <w:ilvl w:val="0"/>
          <w:numId w:val="5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提现</w:t>
      </w:r>
    </w:p>
    <w:p>
      <w:pPr>
        <w:numPr>
          <w:ilvl w:val="0"/>
          <w:numId w:val="5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资讯模块</w:t>
      </w:r>
    </w:p>
    <w:p>
      <w:pPr>
        <w:numPr>
          <w:ilvl w:val="0"/>
          <w:numId w:val="5"/>
        </w:numPr>
        <w:ind w:left="105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交互设计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运营及推广策略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产品优缺点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A6DAB2"/>
    <w:multiLevelType w:val="singleLevel"/>
    <w:tmpl w:val="BCA6DA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E7DD95"/>
    <w:multiLevelType w:val="singleLevel"/>
    <w:tmpl w:val="E6E7DD9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EC74DC7"/>
    <w:multiLevelType w:val="singleLevel"/>
    <w:tmpl w:val="2EC74DC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900220F"/>
    <w:multiLevelType w:val="singleLevel"/>
    <w:tmpl w:val="3900220F"/>
    <w:lvl w:ilvl="0" w:tentative="0">
      <w:start w:val="1"/>
      <w:numFmt w:val="chineseCounting"/>
      <w:suff w:val="nothing"/>
      <w:lvlText w:val="%1、"/>
      <w:lvlJc w:val="left"/>
      <w:pPr>
        <w:ind w:left="105" w:leftChars="0" w:firstLine="0" w:firstLineChars="0"/>
      </w:pPr>
      <w:rPr>
        <w:rFonts w:hint="eastAsia"/>
      </w:rPr>
    </w:lvl>
  </w:abstractNum>
  <w:abstractNum w:abstractNumId="4">
    <w:nsid w:val="615B2735"/>
    <w:multiLevelType w:val="singleLevel"/>
    <w:tmpl w:val="615B2735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90ABC"/>
    <w:rsid w:val="0E870BF6"/>
    <w:rsid w:val="3185618B"/>
    <w:rsid w:val="32BD4367"/>
    <w:rsid w:val="34B923BE"/>
    <w:rsid w:val="3C916C38"/>
    <w:rsid w:val="576328E1"/>
    <w:rsid w:val="70C7137E"/>
    <w:rsid w:val="7B3D2011"/>
    <w:rsid w:val="7E2B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2019-05-23T09:49:06Z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