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E1C43" w14:textId="77777777" w:rsidR="00E010D0" w:rsidRDefault="00F31CEC" w:rsidP="00E010D0">
      <w:pPr>
        <w:pBdr>
          <w:bottom w:val="single" w:sz="4" w:space="1" w:color="auto"/>
        </w:pBdr>
        <w:rPr>
          <w:b/>
          <w:sz w:val="18"/>
          <w:szCs w:val="18"/>
        </w:rPr>
      </w:pPr>
      <w:r>
        <w:rPr>
          <w:b/>
          <w:sz w:val="18"/>
          <w:szCs w:val="18"/>
        </w:rPr>
        <w:t>Fundamental</w:t>
      </w:r>
      <w:r w:rsidR="00E010D0">
        <w:rPr>
          <w:b/>
          <w:sz w:val="18"/>
          <w:szCs w:val="18"/>
        </w:rPr>
        <w:t xml:space="preserve"> POCs</w:t>
      </w:r>
    </w:p>
    <w:p w14:paraId="261F047E" w14:textId="77777777" w:rsidR="00E010D0" w:rsidRPr="00A20592" w:rsidRDefault="00E010D0" w:rsidP="00E010D0">
      <w:pPr>
        <w:rPr>
          <w:sz w:val="18"/>
          <w:szCs w:val="18"/>
        </w:rPr>
      </w:pPr>
      <w:r>
        <w:rPr>
          <w:sz w:val="18"/>
          <w:szCs w:val="18"/>
        </w:rPr>
        <w:t xml:space="preserve">DLT Technology: </w:t>
      </w:r>
      <w:r w:rsidRPr="00A20592">
        <w:rPr>
          <w:sz w:val="18"/>
          <w:szCs w:val="18"/>
        </w:rPr>
        <w:t>Hyperledger fabric</w:t>
      </w:r>
    </w:p>
    <w:tbl>
      <w:tblPr>
        <w:tblStyle w:val="Grilledutableau"/>
        <w:tblW w:w="9288" w:type="dxa"/>
        <w:tblLook w:val="04A0" w:firstRow="1" w:lastRow="0" w:firstColumn="1" w:lastColumn="0" w:noHBand="0" w:noVBand="1"/>
      </w:tblPr>
      <w:tblGrid>
        <w:gridCol w:w="405"/>
        <w:gridCol w:w="1428"/>
        <w:gridCol w:w="1819"/>
        <w:gridCol w:w="2835"/>
        <w:gridCol w:w="2801"/>
      </w:tblGrid>
      <w:tr w:rsidR="00072CCD" w:rsidRPr="00BF4166" w14:paraId="06F2F231" w14:textId="01F50BBA" w:rsidTr="0075594B">
        <w:trPr>
          <w:tblHeader/>
        </w:trPr>
        <w:tc>
          <w:tcPr>
            <w:tcW w:w="405" w:type="dxa"/>
          </w:tcPr>
          <w:p w14:paraId="0EFC1A90" w14:textId="77777777" w:rsidR="00072CCD" w:rsidRPr="00BF4166" w:rsidRDefault="00072CCD" w:rsidP="00E010D0">
            <w:pPr>
              <w:rPr>
                <w:b/>
                <w:sz w:val="16"/>
                <w:szCs w:val="16"/>
              </w:rPr>
            </w:pPr>
            <w:r w:rsidRPr="00BF4166">
              <w:rPr>
                <w:b/>
                <w:sz w:val="16"/>
                <w:szCs w:val="16"/>
              </w:rPr>
              <w:t>#</w:t>
            </w:r>
          </w:p>
        </w:tc>
        <w:tc>
          <w:tcPr>
            <w:tcW w:w="1428" w:type="dxa"/>
          </w:tcPr>
          <w:p w14:paraId="7893B00B" w14:textId="77777777" w:rsidR="00072CCD" w:rsidRPr="00BF4166" w:rsidRDefault="00072CCD" w:rsidP="00E010D0">
            <w:pPr>
              <w:rPr>
                <w:b/>
                <w:sz w:val="16"/>
                <w:szCs w:val="16"/>
              </w:rPr>
            </w:pPr>
            <w:r w:rsidRPr="00BF4166">
              <w:rPr>
                <w:b/>
                <w:sz w:val="16"/>
                <w:szCs w:val="16"/>
              </w:rPr>
              <w:t>POC Theme</w:t>
            </w:r>
          </w:p>
        </w:tc>
        <w:tc>
          <w:tcPr>
            <w:tcW w:w="1819" w:type="dxa"/>
          </w:tcPr>
          <w:p w14:paraId="54D59CDE" w14:textId="77777777" w:rsidR="00072CCD" w:rsidRPr="00BF4166" w:rsidRDefault="00072CCD" w:rsidP="00E010D0">
            <w:pPr>
              <w:rPr>
                <w:b/>
                <w:sz w:val="16"/>
                <w:szCs w:val="16"/>
              </w:rPr>
            </w:pPr>
            <w:r w:rsidRPr="00BF4166">
              <w:rPr>
                <w:b/>
                <w:sz w:val="16"/>
                <w:szCs w:val="16"/>
              </w:rPr>
              <w:t>POC Name</w:t>
            </w:r>
          </w:p>
        </w:tc>
        <w:tc>
          <w:tcPr>
            <w:tcW w:w="2835" w:type="dxa"/>
          </w:tcPr>
          <w:p w14:paraId="21EFC8B1" w14:textId="77777777" w:rsidR="00072CCD" w:rsidRPr="00BF4166" w:rsidRDefault="00072CCD" w:rsidP="00E010D0">
            <w:pPr>
              <w:rPr>
                <w:b/>
                <w:sz w:val="16"/>
                <w:szCs w:val="16"/>
              </w:rPr>
            </w:pPr>
            <w:r w:rsidRPr="00BF4166">
              <w:rPr>
                <w:b/>
                <w:sz w:val="16"/>
                <w:szCs w:val="16"/>
              </w:rPr>
              <w:t>POC broad objectives</w:t>
            </w:r>
          </w:p>
        </w:tc>
        <w:tc>
          <w:tcPr>
            <w:tcW w:w="2801" w:type="dxa"/>
          </w:tcPr>
          <w:p w14:paraId="30CF963E" w14:textId="6668A0E8" w:rsidR="00072CCD" w:rsidRPr="00BF4166" w:rsidRDefault="00072CCD" w:rsidP="00E010D0">
            <w:pPr>
              <w:rPr>
                <w:b/>
                <w:sz w:val="16"/>
                <w:szCs w:val="16"/>
              </w:rPr>
            </w:pPr>
            <w:r w:rsidRPr="00BF4166">
              <w:rPr>
                <w:b/>
                <w:sz w:val="16"/>
                <w:szCs w:val="16"/>
              </w:rPr>
              <w:t>Hyperledger challenges</w:t>
            </w:r>
          </w:p>
        </w:tc>
      </w:tr>
      <w:tr w:rsidR="00072CCD" w:rsidRPr="00BF4166" w14:paraId="15C25AE6" w14:textId="26C3A0CB" w:rsidTr="00BF4166">
        <w:tc>
          <w:tcPr>
            <w:tcW w:w="405" w:type="dxa"/>
          </w:tcPr>
          <w:p w14:paraId="3141E4A5" w14:textId="77777777" w:rsidR="00072CCD" w:rsidRPr="00BF4166" w:rsidRDefault="00072CCD" w:rsidP="00E010D0">
            <w:pPr>
              <w:rPr>
                <w:sz w:val="16"/>
                <w:szCs w:val="16"/>
              </w:rPr>
            </w:pPr>
            <w:r w:rsidRPr="00BF4166">
              <w:rPr>
                <w:sz w:val="16"/>
                <w:szCs w:val="16"/>
              </w:rPr>
              <w:t>1</w:t>
            </w:r>
          </w:p>
        </w:tc>
        <w:tc>
          <w:tcPr>
            <w:tcW w:w="1428" w:type="dxa"/>
          </w:tcPr>
          <w:p w14:paraId="47ED532D" w14:textId="019C0B7D" w:rsidR="00072CCD" w:rsidRPr="00BF4166" w:rsidRDefault="00072CCD" w:rsidP="00E010D0">
            <w:pPr>
              <w:rPr>
                <w:sz w:val="16"/>
                <w:szCs w:val="16"/>
              </w:rPr>
            </w:pPr>
            <w:r w:rsidRPr="00BF4166">
              <w:rPr>
                <w:sz w:val="16"/>
                <w:szCs w:val="16"/>
              </w:rPr>
              <w:t>Transactions &amp; Holdings Registry</w:t>
            </w:r>
          </w:p>
        </w:tc>
        <w:tc>
          <w:tcPr>
            <w:tcW w:w="1819" w:type="dxa"/>
          </w:tcPr>
          <w:p w14:paraId="72747B9A" w14:textId="7AA8CAEE" w:rsidR="00072CCD" w:rsidRPr="00BF4166" w:rsidRDefault="00072CCD" w:rsidP="00CA6B0C">
            <w:pPr>
              <w:pStyle w:val="Paragraphedeliste"/>
              <w:numPr>
                <w:ilvl w:val="0"/>
                <w:numId w:val="6"/>
              </w:numPr>
              <w:rPr>
                <w:sz w:val="16"/>
                <w:szCs w:val="16"/>
              </w:rPr>
            </w:pPr>
            <w:r w:rsidRPr="00BF4166">
              <w:rPr>
                <w:sz w:val="16"/>
                <w:szCs w:val="16"/>
              </w:rPr>
              <w:t>Transactions Ledger</w:t>
            </w:r>
          </w:p>
          <w:p w14:paraId="769CB8E4" w14:textId="4986722F" w:rsidR="00072CCD" w:rsidRPr="00BF4166" w:rsidRDefault="00072CCD" w:rsidP="00CA6B0C">
            <w:pPr>
              <w:pStyle w:val="Paragraphedeliste"/>
              <w:numPr>
                <w:ilvl w:val="0"/>
                <w:numId w:val="6"/>
              </w:numPr>
              <w:rPr>
                <w:sz w:val="16"/>
                <w:szCs w:val="16"/>
              </w:rPr>
            </w:pPr>
            <w:r w:rsidRPr="00BF4166">
              <w:rPr>
                <w:sz w:val="16"/>
                <w:szCs w:val="16"/>
              </w:rPr>
              <w:t>Holdings Registry</w:t>
            </w:r>
          </w:p>
        </w:tc>
        <w:tc>
          <w:tcPr>
            <w:tcW w:w="2835" w:type="dxa"/>
          </w:tcPr>
          <w:p w14:paraId="436133D0" w14:textId="282AE959" w:rsidR="00072CCD" w:rsidRPr="00BF4166" w:rsidRDefault="00072CCD" w:rsidP="00E010D0">
            <w:pPr>
              <w:rPr>
                <w:sz w:val="16"/>
                <w:szCs w:val="16"/>
              </w:rPr>
            </w:pPr>
            <w:r w:rsidRPr="00BF4166">
              <w:rPr>
                <w:sz w:val="16"/>
                <w:szCs w:val="16"/>
              </w:rPr>
              <w:t>Simple orders and registry of investors holdings, with all involved parties acting as participants (i.e. without onboarding “sponsored” investors.</w:t>
            </w:r>
          </w:p>
          <w:p w14:paraId="756DF0F8" w14:textId="7584AD0E" w:rsidR="00072CCD" w:rsidRPr="00BF4166" w:rsidRDefault="00072CCD" w:rsidP="0075594B">
            <w:pPr>
              <w:rPr>
                <w:sz w:val="16"/>
                <w:szCs w:val="16"/>
              </w:rPr>
            </w:pPr>
            <w:r w:rsidRPr="00BF4166">
              <w:rPr>
                <w:sz w:val="16"/>
                <w:szCs w:val="16"/>
              </w:rPr>
              <w:t>Part I strives to demonstrate that the business logics of ordinary transactions are well supported: validation, valuation, retrieval</w:t>
            </w:r>
            <w:r w:rsidR="0075594B">
              <w:rPr>
                <w:sz w:val="16"/>
                <w:szCs w:val="16"/>
              </w:rPr>
              <w:t xml:space="preserve">. </w:t>
            </w:r>
            <w:r w:rsidRPr="00BF4166">
              <w:rPr>
                <w:sz w:val="16"/>
                <w:szCs w:val="16"/>
              </w:rPr>
              <w:t>Part II: focuses on how relevant data about inflows and holdings may be retrieved</w:t>
            </w:r>
            <w:r w:rsidR="00BF4166" w:rsidRPr="00BF4166">
              <w:rPr>
                <w:sz w:val="16"/>
                <w:szCs w:val="16"/>
              </w:rPr>
              <w:t xml:space="preserve">.  </w:t>
            </w:r>
            <w:r w:rsidRPr="00BF4166">
              <w:rPr>
                <w:sz w:val="16"/>
                <w:szCs w:val="16"/>
              </w:rPr>
              <w:t xml:space="preserve">All </w:t>
            </w:r>
            <w:r w:rsidR="0075594B">
              <w:rPr>
                <w:sz w:val="16"/>
                <w:szCs w:val="16"/>
              </w:rPr>
              <w:t>other</w:t>
            </w:r>
            <w:r w:rsidRPr="00BF4166">
              <w:rPr>
                <w:sz w:val="16"/>
                <w:szCs w:val="16"/>
              </w:rPr>
              <w:t xml:space="preserve"> POC’s are all built on this base.</w:t>
            </w:r>
          </w:p>
        </w:tc>
        <w:tc>
          <w:tcPr>
            <w:tcW w:w="2801" w:type="dxa"/>
          </w:tcPr>
          <w:p w14:paraId="097E5778" w14:textId="77777777" w:rsidR="00072CCD" w:rsidRPr="00BF4166" w:rsidRDefault="00072CCD" w:rsidP="00E010D0">
            <w:pPr>
              <w:rPr>
                <w:sz w:val="16"/>
                <w:szCs w:val="16"/>
              </w:rPr>
            </w:pPr>
            <w:r w:rsidRPr="00BF4166">
              <w:rPr>
                <w:sz w:val="16"/>
                <w:szCs w:val="16"/>
              </w:rPr>
              <w:t>Chaincode data modelling (granularity, definition of the relevant state variables).</w:t>
            </w:r>
          </w:p>
          <w:p w14:paraId="34F393AF" w14:textId="5DE7CCFA" w:rsidR="00072CCD" w:rsidRPr="00BF4166" w:rsidRDefault="00072CCD" w:rsidP="00072CCD">
            <w:pPr>
              <w:pStyle w:val="Commentaire"/>
              <w:rPr>
                <w:sz w:val="16"/>
                <w:szCs w:val="16"/>
              </w:rPr>
            </w:pPr>
            <w:r w:rsidRPr="00BF4166">
              <w:rPr>
                <w:sz w:val="16"/>
                <w:szCs w:val="16"/>
              </w:rPr>
              <w:t>Registry entries refer to anonymous investors</w:t>
            </w:r>
            <w:r w:rsidR="0075594B">
              <w:rPr>
                <w:sz w:val="16"/>
                <w:szCs w:val="16"/>
              </w:rPr>
              <w:t xml:space="preserve">. </w:t>
            </w:r>
            <w:r w:rsidRPr="00BF4166">
              <w:rPr>
                <w:sz w:val="16"/>
                <w:szCs w:val="16"/>
              </w:rPr>
              <w:t>Funds may themselves be investors in other funds</w:t>
            </w:r>
            <w:r w:rsidR="002B48D0">
              <w:rPr>
                <w:sz w:val="16"/>
                <w:szCs w:val="16"/>
              </w:rPr>
              <w:t>.</w:t>
            </w:r>
          </w:p>
          <w:p w14:paraId="39FC552D" w14:textId="4B05FD5C" w:rsidR="00072CCD" w:rsidRPr="00BF4166" w:rsidRDefault="00072CCD" w:rsidP="00DE22FC">
            <w:pPr>
              <w:pStyle w:val="Commentaire"/>
              <w:rPr>
                <w:sz w:val="16"/>
                <w:szCs w:val="16"/>
              </w:rPr>
            </w:pPr>
            <w:r w:rsidRPr="002B48D0">
              <w:rPr>
                <w:sz w:val="16"/>
                <w:szCs w:val="16"/>
              </w:rPr>
              <w:t>Demonstrate HL can manage Ledger and positions (i</w:t>
            </w:r>
            <w:r w:rsidR="00032DB5">
              <w:rPr>
                <w:sz w:val="16"/>
                <w:szCs w:val="16"/>
              </w:rPr>
              <w:t>.</w:t>
            </w:r>
            <w:r w:rsidRPr="002B48D0">
              <w:rPr>
                <w:sz w:val="16"/>
                <w:szCs w:val="16"/>
              </w:rPr>
              <w:t>e</w:t>
            </w:r>
            <w:r w:rsidR="00032DB5">
              <w:rPr>
                <w:sz w:val="16"/>
                <w:szCs w:val="16"/>
              </w:rPr>
              <w:t>.</w:t>
            </w:r>
            <w:r w:rsidRPr="002B48D0">
              <w:rPr>
                <w:sz w:val="16"/>
                <w:szCs w:val="16"/>
              </w:rPr>
              <w:t xml:space="preserve"> last position is generally easy to </w:t>
            </w:r>
            <w:r w:rsidR="00032DB5" w:rsidRPr="002B48D0">
              <w:rPr>
                <w:sz w:val="16"/>
                <w:szCs w:val="16"/>
              </w:rPr>
              <w:t>retrieve;</w:t>
            </w:r>
            <w:r w:rsidRPr="002B48D0">
              <w:rPr>
                <w:sz w:val="16"/>
                <w:szCs w:val="16"/>
              </w:rPr>
              <w:t xml:space="preserve"> </w:t>
            </w:r>
            <w:r w:rsidR="002B48D0" w:rsidRPr="002B48D0">
              <w:rPr>
                <w:sz w:val="16"/>
                <w:szCs w:val="16"/>
              </w:rPr>
              <w:t>historical positions</w:t>
            </w:r>
            <w:r w:rsidR="0075594B">
              <w:rPr>
                <w:sz w:val="16"/>
                <w:szCs w:val="16"/>
              </w:rPr>
              <w:t xml:space="preserve"> are cumbersome </w:t>
            </w:r>
            <w:r w:rsidRPr="002B48D0">
              <w:rPr>
                <w:sz w:val="16"/>
                <w:szCs w:val="16"/>
              </w:rPr>
              <w:t>in V0.6)</w:t>
            </w:r>
          </w:p>
        </w:tc>
      </w:tr>
      <w:tr w:rsidR="00072CCD" w:rsidRPr="00BF4166" w14:paraId="4251312E" w14:textId="205C797D" w:rsidTr="00BF4166">
        <w:tc>
          <w:tcPr>
            <w:tcW w:w="405" w:type="dxa"/>
          </w:tcPr>
          <w:p w14:paraId="5C25E652" w14:textId="77777777" w:rsidR="00072CCD" w:rsidRPr="00BF4166" w:rsidRDefault="00072CCD" w:rsidP="00E010D0">
            <w:pPr>
              <w:rPr>
                <w:sz w:val="16"/>
                <w:szCs w:val="16"/>
              </w:rPr>
            </w:pPr>
            <w:r w:rsidRPr="00BF4166">
              <w:rPr>
                <w:sz w:val="16"/>
                <w:szCs w:val="16"/>
              </w:rPr>
              <w:t>2</w:t>
            </w:r>
          </w:p>
        </w:tc>
        <w:tc>
          <w:tcPr>
            <w:tcW w:w="1428" w:type="dxa"/>
          </w:tcPr>
          <w:p w14:paraId="3501BD8B" w14:textId="77777777" w:rsidR="00072CCD" w:rsidRPr="00BF4166" w:rsidRDefault="00072CCD" w:rsidP="00E010D0">
            <w:pPr>
              <w:rPr>
                <w:sz w:val="16"/>
                <w:szCs w:val="16"/>
              </w:rPr>
            </w:pPr>
            <w:r w:rsidRPr="00BF4166">
              <w:rPr>
                <w:sz w:val="16"/>
                <w:szCs w:val="16"/>
              </w:rPr>
              <w:t>Product Master</w:t>
            </w:r>
          </w:p>
        </w:tc>
        <w:tc>
          <w:tcPr>
            <w:tcW w:w="1819" w:type="dxa"/>
          </w:tcPr>
          <w:p w14:paraId="1ED14A9A" w14:textId="77777777" w:rsidR="00072CCD" w:rsidRPr="00BF4166" w:rsidRDefault="00072CCD" w:rsidP="00E010D0">
            <w:pPr>
              <w:rPr>
                <w:sz w:val="16"/>
                <w:szCs w:val="16"/>
              </w:rPr>
            </w:pPr>
            <w:r w:rsidRPr="00BF4166">
              <w:rPr>
                <w:sz w:val="16"/>
                <w:szCs w:val="16"/>
              </w:rPr>
              <w:t xml:space="preserve">Product Master – Registration </w:t>
            </w:r>
          </w:p>
          <w:p w14:paraId="5E27A5E6" w14:textId="77777777" w:rsidR="00072CCD" w:rsidRPr="00BF4166" w:rsidRDefault="00072CCD" w:rsidP="00E010D0">
            <w:pPr>
              <w:rPr>
                <w:sz w:val="16"/>
                <w:szCs w:val="16"/>
              </w:rPr>
            </w:pPr>
          </w:p>
        </w:tc>
        <w:tc>
          <w:tcPr>
            <w:tcW w:w="2835" w:type="dxa"/>
          </w:tcPr>
          <w:p w14:paraId="32144BFC" w14:textId="5C1C301B" w:rsidR="00072CCD" w:rsidRPr="00BF4166" w:rsidRDefault="00072CCD" w:rsidP="00E010D0">
            <w:pPr>
              <w:rPr>
                <w:sz w:val="16"/>
                <w:szCs w:val="16"/>
              </w:rPr>
            </w:pPr>
            <w:r w:rsidRPr="00BF4166">
              <w:rPr>
                <w:sz w:val="16"/>
                <w:szCs w:val="16"/>
              </w:rPr>
              <w:t>Demonstrate the ability to register a new fund with a regulator, following the existing business workflow.</w:t>
            </w:r>
          </w:p>
          <w:p w14:paraId="4FB3DDCF" w14:textId="4090B806" w:rsidR="00072CCD" w:rsidRPr="00BF4166" w:rsidRDefault="00072CCD" w:rsidP="00E010D0">
            <w:pPr>
              <w:rPr>
                <w:sz w:val="16"/>
                <w:szCs w:val="16"/>
              </w:rPr>
            </w:pPr>
            <w:r w:rsidRPr="00BF4166">
              <w:rPr>
                <w:sz w:val="16"/>
                <w:szCs w:val="16"/>
              </w:rPr>
              <w:t>Demonstrate the flexibility of our model: multiple jurisdiction</w:t>
            </w:r>
          </w:p>
        </w:tc>
        <w:tc>
          <w:tcPr>
            <w:tcW w:w="2801" w:type="dxa"/>
          </w:tcPr>
          <w:p w14:paraId="2F74C291" w14:textId="4B441E7F" w:rsidR="00072CCD" w:rsidRPr="00BF4166" w:rsidRDefault="00072CCD" w:rsidP="00072CCD">
            <w:pPr>
              <w:pStyle w:val="Commentaire"/>
              <w:rPr>
                <w:sz w:val="16"/>
                <w:szCs w:val="16"/>
              </w:rPr>
            </w:pPr>
            <w:r w:rsidRPr="00BF4166">
              <w:rPr>
                <w:sz w:val="16"/>
                <w:szCs w:val="16"/>
              </w:rPr>
              <w:t>Global directory vs Regulator vs Issuer directories</w:t>
            </w:r>
          </w:p>
          <w:p w14:paraId="16AD7798" w14:textId="74219658" w:rsidR="00072CCD" w:rsidRPr="00BF4166" w:rsidRDefault="00072CCD" w:rsidP="002B48D0">
            <w:pPr>
              <w:pStyle w:val="Commentaire"/>
              <w:rPr>
                <w:sz w:val="16"/>
                <w:szCs w:val="16"/>
              </w:rPr>
            </w:pPr>
            <w:r w:rsidRPr="00BF4166">
              <w:rPr>
                <w:sz w:val="16"/>
                <w:szCs w:val="16"/>
              </w:rPr>
              <w:t>Events &amp; Messaging to external parties (mediated through (a) regulator or (b) issuer)</w:t>
            </w:r>
          </w:p>
        </w:tc>
      </w:tr>
      <w:tr w:rsidR="00072CCD" w:rsidRPr="00BF4166" w14:paraId="1D730098" w14:textId="17D1CB20" w:rsidTr="00BF4166">
        <w:tc>
          <w:tcPr>
            <w:tcW w:w="405" w:type="dxa"/>
          </w:tcPr>
          <w:p w14:paraId="3FD88987" w14:textId="77777777" w:rsidR="00072CCD" w:rsidRPr="00BF4166" w:rsidRDefault="00072CCD" w:rsidP="00EA2958">
            <w:pPr>
              <w:rPr>
                <w:sz w:val="16"/>
                <w:szCs w:val="16"/>
              </w:rPr>
            </w:pPr>
            <w:r w:rsidRPr="00BF4166">
              <w:rPr>
                <w:sz w:val="16"/>
                <w:szCs w:val="16"/>
              </w:rPr>
              <w:t>3</w:t>
            </w:r>
          </w:p>
        </w:tc>
        <w:tc>
          <w:tcPr>
            <w:tcW w:w="1428" w:type="dxa"/>
          </w:tcPr>
          <w:p w14:paraId="7120D562" w14:textId="77777777" w:rsidR="00072CCD" w:rsidRPr="00BF4166" w:rsidRDefault="00072CCD" w:rsidP="00EA2958">
            <w:pPr>
              <w:rPr>
                <w:sz w:val="16"/>
                <w:szCs w:val="16"/>
              </w:rPr>
            </w:pPr>
            <w:r w:rsidRPr="00BF4166">
              <w:rPr>
                <w:sz w:val="16"/>
                <w:szCs w:val="16"/>
              </w:rPr>
              <w:t>Product Master</w:t>
            </w:r>
          </w:p>
        </w:tc>
        <w:tc>
          <w:tcPr>
            <w:tcW w:w="1819" w:type="dxa"/>
          </w:tcPr>
          <w:p w14:paraId="13A70C89" w14:textId="77777777" w:rsidR="00072CCD" w:rsidRPr="00BF4166" w:rsidRDefault="00072CCD" w:rsidP="00EA2958">
            <w:pPr>
              <w:rPr>
                <w:sz w:val="16"/>
                <w:szCs w:val="16"/>
              </w:rPr>
            </w:pPr>
            <w:r w:rsidRPr="00BF4166">
              <w:rPr>
                <w:sz w:val="16"/>
                <w:szCs w:val="16"/>
              </w:rPr>
              <w:t>Product Master – Service agreements</w:t>
            </w:r>
          </w:p>
        </w:tc>
        <w:tc>
          <w:tcPr>
            <w:tcW w:w="2835" w:type="dxa"/>
          </w:tcPr>
          <w:p w14:paraId="0A98A808" w14:textId="3E4B7791" w:rsidR="00072CCD" w:rsidRPr="00BF4166" w:rsidRDefault="00072CCD" w:rsidP="00EA2958">
            <w:pPr>
              <w:rPr>
                <w:sz w:val="16"/>
                <w:szCs w:val="16"/>
              </w:rPr>
            </w:pPr>
            <w:r w:rsidRPr="00BF4166">
              <w:rPr>
                <w:sz w:val="16"/>
                <w:szCs w:val="16"/>
              </w:rPr>
              <w:t>Model and enforce agreement between funds and investment service providers, such as accountant, custodian and transfer agent (not a dist</w:t>
            </w:r>
            <w:r w:rsidR="0075594B">
              <w:rPr>
                <w:sz w:val="16"/>
                <w:szCs w:val="16"/>
              </w:rPr>
              <w:t xml:space="preserve">. </w:t>
            </w:r>
            <w:r w:rsidRPr="00BF4166">
              <w:rPr>
                <w:sz w:val="16"/>
                <w:szCs w:val="16"/>
              </w:rPr>
              <w:t>agreement)</w:t>
            </w:r>
            <w:r w:rsidR="0075594B">
              <w:rPr>
                <w:sz w:val="16"/>
                <w:szCs w:val="16"/>
              </w:rPr>
              <w:t>.</w:t>
            </w:r>
          </w:p>
        </w:tc>
        <w:tc>
          <w:tcPr>
            <w:tcW w:w="2801" w:type="dxa"/>
          </w:tcPr>
          <w:p w14:paraId="1BBB7495" w14:textId="6F2480DC" w:rsidR="00072CCD" w:rsidRPr="00BF4166" w:rsidRDefault="00072CCD" w:rsidP="00072CCD">
            <w:pPr>
              <w:pStyle w:val="Commentaire"/>
              <w:rPr>
                <w:sz w:val="16"/>
                <w:szCs w:val="16"/>
              </w:rPr>
            </w:pPr>
            <w:r w:rsidRPr="00BF4166">
              <w:rPr>
                <w:sz w:val="16"/>
                <w:szCs w:val="16"/>
              </w:rPr>
              <w:t>Initial agreement is reflected in endorsement policy.</w:t>
            </w:r>
          </w:p>
          <w:p w14:paraId="666A5A59" w14:textId="7036BCB5" w:rsidR="00072CCD" w:rsidRPr="00BF4166" w:rsidRDefault="00072CCD" w:rsidP="0075594B">
            <w:pPr>
              <w:pStyle w:val="Commentaire"/>
              <w:rPr>
                <w:sz w:val="16"/>
                <w:szCs w:val="16"/>
              </w:rPr>
            </w:pPr>
            <w:r w:rsidRPr="00BF4166">
              <w:rPr>
                <w:sz w:val="16"/>
                <w:szCs w:val="16"/>
              </w:rPr>
              <w:t>Endorsement policy / peers change management?</w:t>
            </w:r>
          </w:p>
        </w:tc>
      </w:tr>
      <w:tr w:rsidR="00072CCD" w:rsidRPr="00BF4166" w14:paraId="29801FFF" w14:textId="1918EC5D" w:rsidTr="00BF4166">
        <w:tc>
          <w:tcPr>
            <w:tcW w:w="405" w:type="dxa"/>
          </w:tcPr>
          <w:p w14:paraId="5FEA77D8" w14:textId="77777777" w:rsidR="00072CCD" w:rsidRPr="00BF4166" w:rsidRDefault="00072CCD" w:rsidP="0076114A">
            <w:pPr>
              <w:rPr>
                <w:sz w:val="16"/>
                <w:szCs w:val="16"/>
              </w:rPr>
            </w:pPr>
            <w:r w:rsidRPr="00BF4166">
              <w:rPr>
                <w:sz w:val="16"/>
                <w:szCs w:val="16"/>
              </w:rPr>
              <w:t>4</w:t>
            </w:r>
          </w:p>
        </w:tc>
        <w:tc>
          <w:tcPr>
            <w:tcW w:w="1428" w:type="dxa"/>
          </w:tcPr>
          <w:p w14:paraId="41049540" w14:textId="77777777" w:rsidR="00072CCD" w:rsidRPr="00BF4166" w:rsidRDefault="00072CCD" w:rsidP="0076114A">
            <w:pPr>
              <w:rPr>
                <w:sz w:val="16"/>
                <w:szCs w:val="16"/>
              </w:rPr>
            </w:pPr>
            <w:r w:rsidRPr="00BF4166">
              <w:rPr>
                <w:sz w:val="16"/>
                <w:szCs w:val="16"/>
              </w:rPr>
              <w:t>Settlement</w:t>
            </w:r>
          </w:p>
        </w:tc>
        <w:tc>
          <w:tcPr>
            <w:tcW w:w="1819" w:type="dxa"/>
          </w:tcPr>
          <w:p w14:paraId="67DE94C9" w14:textId="23DA1D76" w:rsidR="00072CCD" w:rsidRPr="00BF4166" w:rsidRDefault="006D34FA" w:rsidP="0076114A">
            <w:pPr>
              <w:rPr>
                <w:sz w:val="16"/>
                <w:szCs w:val="16"/>
              </w:rPr>
            </w:pPr>
            <w:r>
              <w:rPr>
                <w:sz w:val="16"/>
                <w:szCs w:val="16"/>
              </w:rPr>
              <w:t>Orders</w:t>
            </w:r>
            <w:r w:rsidR="00072CCD" w:rsidRPr="00BF4166">
              <w:rPr>
                <w:sz w:val="16"/>
                <w:szCs w:val="16"/>
              </w:rPr>
              <w:t xml:space="preserve"> settlement – SWIFT interface</w:t>
            </w:r>
          </w:p>
        </w:tc>
        <w:tc>
          <w:tcPr>
            <w:tcW w:w="2835" w:type="dxa"/>
          </w:tcPr>
          <w:p w14:paraId="5313242D" w14:textId="77777777" w:rsidR="00072CCD" w:rsidRPr="00BF4166" w:rsidRDefault="00072CCD" w:rsidP="0076114A">
            <w:pPr>
              <w:rPr>
                <w:sz w:val="16"/>
                <w:szCs w:val="16"/>
              </w:rPr>
            </w:pPr>
            <w:r w:rsidRPr="00BF4166">
              <w:rPr>
                <w:sz w:val="16"/>
                <w:szCs w:val="16"/>
              </w:rPr>
              <w:t>Demonstrate how the platform may leverage existing SWIFT messaging standards to operate.</w:t>
            </w:r>
          </w:p>
          <w:p w14:paraId="60FEC95F" w14:textId="3D153270" w:rsidR="00BF4166" w:rsidRPr="00BF4166" w:rsidRDefault="00BF4166" w:rsidP="0076114A">
            <w:pPr>
              <w:rPr>
                <w:sz w:val="16"/>
                <w:szCs w:val="16"/>
              </w:rPr>
            </w:pPr>
            <w:r w:rsidRPr="00BF4166">
              <w:rPr>
                <w:sz w:val="16"/>
                <w:szCs w:val="16"/>
              </w:rPr>
              <w:t>Investigate various settlement scenarios (there are many options on the table)</w:t>
            </w:r>
          </w:p>
        </w:tc>
        <w:tc>
          <w:tcPr>
            <w:tcW w:w="2801" w:type="dxa"/>
          </w:tcPr>
          <w:p w14:paraId="5E47190B" w14:textId="77777777" w:rsidR="00072CCD" w:rsidRPr="00BF4166" w:rsidRDefault="00072CCD" w:rsidP="00072CCD">
            <w:pPr>
              <w:pStyle w:val="Commentaire"/>
              <w:rPr>
                <w:sz w:val="16"/>
                <w:szCs w:val="16"/>
              </w:rPr>
            </w:pPr>
            <w:r w:rsidRPr="00BF4166">
              <w:rPr>
                <w:sz w:val="16"/>
                <w:szCs w:val="16"/>
              </w:rPr>
              <w:t>Conceptual interface with messages triggered by HL events vs more realistic interface with actual SWIFT messages</w:t>
            </w:r>
          </w:p>
          <w:p w14:paraId="7185F4AD" w14:textId="037C9AB1" w:rsidR="00072CCD" w:rsidRPr="00BF4166" w:rsidRDefault="00072CCD" w:rsidP="00072CCD">
            <w:pPr>
              <w:pStyle w:val="Commentaire"/>
              <w:rPr>
                <w:sz w:val="16"/>
                <w:szCs w:val="16"/>
              </w:rPr>
            </w:pPr>
            <w:r w:rsidRPr="00BF4166">
              <w:rPr>
                <w:sz w:val="16"/>
                <w:szCs w:val="16"/>
              </w:rPr>
              <w:t>SWIFT security assumed to be managed by an external gateway)</w:t>
            </w:r>
          </w:p>
          <w:p w14:paraId="1A97886E" w14:textId="77777777" w:rsidR="00072CCD" w:rsidRDefault="00072CCD" w:rsidP="00BF4166">
            <w:pPr>
              <w:pStyle w:val="Commentaire"/>
              <w:rPr>
                <w:sz w:val="16"/>
                <w:szCs w:val="16"/>
              </w:rPr>
            </w:pPr>
            <w:r w:rsidRPr="00BF4166">
              <w:rPr>
                <w:sz w:val="16"/>
                <w:szCs w:val="16"/>
              </w:rPr>
              <w:t xml:space="preserve">How events/messages may be </w:t>
            </w:r>
            <w:r w:rsidRPr="00BF4166">
              <w:rPr>
                <w:i/>
                <w:sz w:val="16"/>
                <w:szCs w:val="16"/>
              </w:rPr>
              <w:t>consensually</w:t>
            </w:r>
            <w:r w:rsidRPr="00BF4166">
              <w:rPr>
                <w:sz w:val="16"/>
                <w:szCs w:val="16"/>
              </w:rPr>
              <w:t xml:space="preserve"> acknowledged.</w:t>
            </w:r>
          </w:p>
          <w:p w14:paraId="6C307211" w14:textId="1EA9D4DB" w:rsidR="0075594B" w:rsidRPr="00BF4166" w:rsidRDefault="0075594B" w:rsidP="0075594B">
            <w:pPr>
              <w:rPr>
                <w:sz w:val="16"/>
                <w:szCs w:val="16"/>
              </w:rPr>
            </w:pPr>
            <w:r>
              <w:rPr>
                <w:sz w:val="16"/>
                <w:szCs w:val="16"/>
              </w:rPr>
              <w:t>Demonstrate</w:t>
            </w:r>
            <w:r w:rsidRPr="0075594B">
              <w:rPr>
                <w:sz w:val="16"/>
                <w:szCs w:val="16"/>
              </w:rPr>
              <w:t xml:space="preserve"> how such a trusted messaging is possibl</w:t>
            </w:r>
            <w:r>
              <w:rPr>
                <w:sz w:val="16"/>
                <w:szCs w:val="16"/>
              </w:rPr>
              <w:t>e (interacting with chaincodes)</w:t>
            </w:r>
          </w:p>
        </w:tc>
      </w:tr>
      <w:tr w:rsidR="00072CCD" w:rsidRPr="00BF4166" w14:paraId="56FB9386" w14:textId="1994DE8E" w:rsidTr="00BF4166">
        <w:tc>
          <w:tcPr>
            <w:tcW w:w="405" w:type="dxa"/>
          </w:tcPr>
          <w:p w14:paraId="3358555A" w14:textId="77777777" w:rsidR="00072CCD" w:rsidRPr="00BF4166" w:rsidRDefault="00072CCD" w:rsidP="0076114A">
            <w:pPr>
              <w:rPr>
                <w:sz w:val="16"/>
                <w:szCs w:val="16"/>
              </w:rPr>
            </w:pPr>
            <w:r w:rsidRPr="00BF4166">
              <w:rPr>
                <w:sz w:val="16"/>
                <w:szCs w:val="16"/>
              </w:rPr>
              <w:t>5</w:t>
            </w:r>
          </w:p>
        </w:tc>
        <w:tc>
          <w:tcPr>
            <w:tcW w:w="1428" w:type="dxa"/>
          </w:tcPr>
          <w:p w14:paraId="5ECF1DC2" w14:textId="77777777" w:rsidR="00072CCD" w:rsidRPr="00BF4166" w:rsidRDefault="00072CCD" w:rsidP="0076114A">
            <w:pPr>
              <w:rPr>
                <w:sz w:val="16"/>
                <w:szCs w:val="16"/>
              </w:rPr>
            </w:pPr>
            <w:r w:rsidRPr="00BF4166">
              <w:rPr>
                <w:sz w:val="16"/>
                <w:szCs w:val="16"/>
              </w:rPr>
              <w:t>Settlement</w:t>
            </w:r>
          </w:p>
        </w:tc>
        <w:tc>
          <w:tcPr>
            <w:tcW w:w="1819" w:type="dxa"/>
          </w:tcPr>
          <w:p w14:paraId="4AB580EE" w14:textId="54C803DA" w:rsidR="00072CCD" w:rsidRPr="00BF4166" w:rsidRDefault="006D34FA" w:rsidP="0076114A">
            <w:pPr>
              <w:rPr>
                <w:sz w:val="16"/>
                <w:szCs w:val="16"/>
              </w:rPr>
            </w:pPr>
            <w:r>
              <w:rPr>
                <w:sz w:val="16"/>
                <w:szCs w:val="16"/>
              </w:rPr>
              <w:t>Orders</w:t>
            </w:r>
            <w:r w:rsidR="00072CCD" w:rsidRPr="00BF4166">
              <w:rPr>
                <w:sz w:val="16"/>
                <w:szCs w:val="16"/>
              </w:rPr>
              <w:t xml:space="preserve"> Settlement – Settlement scenarios</w:t>
            </w:r>
          </w:p>
        </w:tc>
        <w:tc>
          <w:tcPr>
            <w:tcW w:w="2835" w:type="dxa"/>
          </w:tcPr>
          <w:p w14:paraId="3020020E" w14:textId="002F9836" w:rsidR="00072CCD" w:rsidRPr="00BF4166" w:rsidRDefault="00072CCD" w:rsidP="0076114A">
            <w:pPr>
              <w:rPr>
                <w:sz w:val="16"/>
                <w:szCs w:val="16"/>
              </w:rPr>
            </w:pPr>
            <w:r w:rsidRPr="00BF4166">
              <w:rPr>
                <w:sz w:val="16"/>
                <w:szCs w:val="16"/>
              </w:rPr>
              <w:t>Investigate different settlement scenarios (security vs payment), with or without participating custodian banks (fund custodian / investor custodian)</w:t>
            </w:r>
          </w:p>
        </w:tc>
        <w:tc>
          <w:tcPr>
            <w:tcW w:w="2801" w:type="dxa"/>
          </w:tcPr>
          <w:p w14:paraId="108956B1" w14:textId="77777777" w:rsidR="00072CCD" w:rsidRDefault="00BF4166" w:rsidP="0076114A">
            <w:pPr>
              <w:rPr>
                <w:sz w:val="16"/>
                <w:szCs w:val="16"/>
              </w:rPr>
            </w:pPr>
            <w:r w:rsidRPr="00BF4166">
              <w:rPr>
                <w:sz w:val="16"/>
                <w:szCs w:val="16"/>
              </w:rPr>
              <w:t>Cash is assumed to be externally managed; i.e. a trusted member (let’s call this role “Transfer Agent”) operates the SWIFT gateway to the banking / settlement system(s) (scenario dependent)</w:t>
            </w:r>
          </w:p>
          <w:p w14:paraId="6D2C24A4" w14:textId="5F86D77F" w:rsidR="0075594B" w:rsidRPr="0075594B" w:rsidRDefault="0075594B" w:rsidP="0075594B">
            <w:pPr>
              <w:rPr>
                <w:sz w:val="16"/>
                <w:szCs w:val="16"/>
              </w:rPr>
            </w:pPr>
            <w:r w:rsidRPr="0075594B">
              <w:rPr>
                <w:sz w:val="16"/>
                <w:szCs w:val="16"/>
              </w:rPr>
              <w:t>Explore various scenarios, depending on the member status of various custodians in the loop: member custodian may participate to the validation of the message (therefore pushing further out the role of transfer agent, as they collectively act as a transfer agent) OR may not participate, in this case they fully trust the</w:t>
            </w:r>
            <w:r w:rsidR="003B2309">
              <w:rPr>
                <w:sz w:val="16"/>
                <w:szCs w:val="16"/>
              </w:rPr>
              <w:t xml:space="preserve"> </w:t>
            </w:r>
            <w:r w:rsidRPr="0075594B">
              <w:rPr>
                <w:sz w:val="16"/>
                <w:szCs w:val="16"/>
              </w:rPr>
              <w:t>transfer agent.</w:t>
            </w:r>
          </w:p>
          <w:p w14:paraId="7F2AA21B" w14:textId="5186950C" w:rsidR="0075594B" w:rsidRPr="00BF4166" w:rsidRDefault="0075594B" w:rsidP="0075594B">
            <w:pPr>
              <w:rPr>
                <w:sz w:val="16"/>
                <w:szCs w:val="16"/>
              </w:rPr>
            </w:pPr>
            <w:r w:rsidRPr="0075594B">
              <w:rPr>
                <w:sz w:val="16"/>
                <w:szCs w:val="16"/>
              </w:rPr>
              <w:t>Another variant is Euroclear: Euroclear acts as a (trusted) gateway to its member custodians. We should investigate how a reconciliation-free protocol may be established with Euroclear members which do not participate the consensus (by themselves, but Euroclear acts on their behalf</w:t>
            </w:r>
          </w:p>
        </w:tc>
      </w:tr>
      <w:tr w:rsidR="00072CCD" w:rsidRPr="00BF4166" w14:paraId="5D8E071A" w14:textId="2199F2AD" w:rsidTr="00BF4166">
        <w:tc>
          <w:tcPr>
            <w:tcW w:w="405" w:type="dxa"/>
          </w:tcPr>
          <w:p w14:paraId="0C575D9D" w14:textId="77777777" w:rsidR="00072CCD" w:rsidRPr="00BF4166" w:rsidRDefault="00072CCD" w:rsidP="0076114A">
            <w:pPr>
              <w:rPr>
                <w:sz w:val="16"/>
                <w:szCs w:val="16"/>
              </w:rPr>
            </w:pPr>
            <w:r w:rsidRPr="00BF4166">
              <w:rPr>
                <w:sz w:val="16"/>
                <w:szCs w:val="16"/>
              </w:rPr>
              <w:t>6</w:t>
            </w:r>
          </w:p>
        </w:tc>
        <w:tc>
          <w:tcPr>
            <w:tcW w:w="1428" w:type="dxa"/>
          </w:tcPr>
          <w:p w14:paraId="0EAF1306" w14:textId="77777777" w:rsidR="00072CCD" w:rsidRPr="00BF4166" w:rsidRDefault="00072CCD" w:rsidP="0076114A">
            <w:pPr>
              <w:rPr>
                <w:sz w:val="16"/>
                <w:szCs w:val="16"/>
              </w:rPr>
            </w:pPr>
            <w:r w:rsidRPr="00BF4166">
              <w:rPr>
                <w:sz w:val="16"/>
                <w:szCs w:val="16"/>
              </w:rPr>
              <w:t>Distribution</w:t>
            </w:r>
          </w:p>
        </w:tc>
        <w:tc>
          <w:tcPr>
            <w:tcW w:w="1819" w:type="dxa"/>
          </w:tcPr>
          <w:p w14:paraId="6D798F7D" w14:textId="77777777" w:rsidR="00072CCD" w:rsidRPr="00BF4166" w:rsidRDefault="00072CCD" w:rsidP="0076114A">
            <w:pPr>
              <w:rPr>
                <w:sz w:val="16"/>
                <w:szCs w:val="16"/>
              </w:rPr>
            </w:pPr>
            <w:r w:rsidRPr="00BF4166">
              <w:rPr>
                <w:sz w:val="16"/>
                <w:szCs w:val="16"/>
              </w:rPr>
              <w:t>Intermediated Distribution</w:t>
            </w:r>
          </w:p>
        </w:tc>
        <w:tc>
          <w:tcPr>
            <w:tcW w:w="2835" w:type="dxa"/>
          </w:tcPr>
          <w:p w14:paraId="3D73336A" w14:textId="77777777" w:rsidR="00072CCD" w:rsidRPr="00BF4166" w:rsidRDefault="00072CCD" w:rsidP="0076114A">
            <w:pPr>
              <w:rPr>
                <w:sz w:val="16"/>
                <w:szCs w:val="16"/>
              </w:rPr>
            </w:pPr>
            <w:r w:rsidRPr="00BF4166">
              <w:rPr>
                <w:sz w:val="16"/>
                <w:szCs w:val="16"/>
              </w:rPr>
              <w:t>Demonstrate order earmarking.</w:t>
            </w:r>
          </w:p>
          <w:p w14:paraId="6B82A518" w14:textId="640F63C4" w:rsidR="00072CCD" w:rsidRPr="00BF4166" w:rsidRDefault="00072CCD" w:rsidP="0076114A">
            <w:pPr>
              <w:rPr>
                <w:sz w:val="16"/>
                <w:szCs w:val="16"/>
              </w:rPr>
            </w:pPr>
            <w:r w:rsidRPr="00BF4166">
              <w:rPr>
                <w:sz w:val="16"/>
                <w:szCs w:val="16"/>
              </w:rPr>
              <w:t>Keep track of the full chain of distribution intermediaries</w:t>
            </w:r>
          </w:p>
          <w:p w14:paraId="0E047F22" w14:textId="58BE9939" w:rsidR="00072CCD" w:rsidRPr="00BF4166" w:rsidRDefault="00072CCD" w:rsidP="0076114A">
            <w:pPr>
              <w:rPr>
                <w:sz w:val="16"/>
                <w:szCs w:val="16"/>
              </w:rPr>
            </w:pPr>
            <w:r w:rsidRPr="00BF4166">
              <w:rPr>
                <w:sz w:val="16"/>
                <w:szCs w:val="16"/>
              </w:rPr>
              <w:t>Possibility to demonstrate PRIIPS</w:t>
            </w:r>
            <w:r w:rsidR="0075594B">
              <w:rPr>
                <w:sz w:val="16"/>
                <w:szCs w:val="16"/>
              </w:rPr>
              <w:t xml:space="preserve"> &amp; KIID (sections about fees transparency)</w:t>
            </w:r>
          </w:p>
        </w:tc>
        <w:tc>
          <w:tcPr>
            <w:tcW w:w="2801" w:type="dxa"/>
          </w:tcPr>
          <w:p w14:paraId="661674B1" w14:textId="4FB5A306" w:rsidR="00072CCD" w:rsidRPr="00BF4166" w:rsidRDefault="00BF4166" w:rsidP="0075594B">
            <w:pPr>
              <w:pStyle w:val="Commentaire"/>
              <w:rPr>
                <w:sz w:val="16"/>
                <w:szCs w:val="16"/>
              </w:rPr>
            </w:pPr>
            <w:r w:rsidRPr="00BF4166">
              <w:rPr>
                <w:sz w:val="16"/>
                <w:szCs w:val="16"/>
              </w:rPr>
              <w:t>Registry entries</w:t>
            </w:r>
            <w:r w:rsidR="00072CCD" w:rsidRPr="00BF4166">
              <w:rPr>
                <w:sz w:val="16"/>
                <w:szCs w:val="16"/>
              </w:rPr>
              <w:t xml:space="preserve"> must fully reflect order earmarking</w:t>
            </w:r>
            <w:r w:rsidRPr="00BF4166">
              <w:rPr>
                <w:sz w:val="16"/>
                <w:szCs w:val="16"/>
              </w:rPr>
              <w:t>.</w:t>
            </w:r>
            <w:r w:rsidR="0075594B">
              <w:rPr>
                <w:sz w:val="16"/>
                <w:szCs w:val="16"/>
              </w:rPr>
              <w:t xml:space="preserve"> </w:t>
            </w:r>
            <w:r w:rsidRPr="00BF4166">
              <w:rPr>
                <w:sz w:val="16"/>
                <w:szCs w:val="16"/>
              </w:rPr>
              <w:t>N</w:t>
            </w:r>
            <w:r w:rsidR="00072CCD" w:rsidRPr="00BF4166">
              <w:rPr>
                <w:sz w:val="16"/>
                <w:szCs w:val="16"/>
              </w:rPr>
              <w:t xml:space="preserve">on-peer </w:t>
            </w:r>
            <w:r w:rsidRPr="00BF4166">
              <w:rPr>
                <w:sz w:val="16"/>
                <w:szCs w:val="16"/>
              </w:rPr>
              <w:t>readers</w:t>
            </w:r>
            <w:r w:rsidR="00072CCD" w:rsidRPr="00BF4166">
              <w:rPr>
                <w:sz w:val="16"/>
                <w:szCs w:val="16"/>
              </w:rPr>
              <w:t xml:space="preserve"> may get aggregate data (depending on their profile / earmarking key)</w:t>
            </w:r>
          </w:p>
          <w:p w14:paraId="29FF9CE8" w14:textId="17F805F6" w:rsidR="002B48D0" w:rsidRPr="002B48D0" w:rsidRDefault="00BF4166" w:rsidP="002B48D0">
            <w:pPr>
              <w:pStyle w:val="Commentaire"/>
            </w:pPr>
            <w:r w:rsidRPr="00BF4166">
              <w:rPr>
                <w:sz w:val="16"/>
                <w:szCs w:val="16"/>
              </w:rPr>
              <w:t>Data v</w:t>
            </w:r>
            <w:r w:rsidR="00072CCD" w:rsidRPr="00BF4166">
              <w:rPr>
                <w:sz w:val="16"/>
                <w:szCs w:val="16"/>
              </w:rPr>
              <w:t>ersioning: EOM snapshots have some business valu</w:t>
            </w:r>
            <w:r w:rsidR="00072CCD" w:rsidRPr="002B48D0">
              <w:rPr>
                <w:sz w:val="16"/>
                <w:szCs w:val="16"/>
              </w:rPr>
              <w:t>e</w:t>
            </w:r>
            <w:r w:rsidR="002B48D0">
              <w:rPr>
                <w:sz w:val="16"/>
                <w:szCs w:val="16"/>
              </w:rPr>
              <w:t>: m</w:t>
            </w:r>
            <w:r w:rsidR="002B48D0" w:rsidRPr="002B48D0">
              <w:rPr>
                <w:sz w:val="16"/>
                <w:szCs w:val="16"/>
              </w:rPr>
              <w:t>ore advanced setups may well extend this idea by keeping End-Of-Month position and possibly a time-weighted monthly position average (main inputs to trailer fees computations).</w:t>
            </w:r>
          </w:p>
        </w:tc>
      </w:tr>
      <w:tr w:rsidR="00072CCD" w:rsidRPr="00BF4166" w14:paraId="7EAA6CF5" w14:textId="4E3343C0" w:rsidTr="00BF4166">
        <w:tc>
          <w:tcPr>
            <w:tcW w:w="405" w:type="dxa"/>
          </w:tcPr>
          <w:p w14:paraId="2CB362CA" w14:textId="77777777" w:rsidR="00072CCD" w:rsidRPr="00BF4166" w:rsidRDefault="00072CCD" w:rsidP="0076114A">
            <w:pPr>
              <w:rPr>
                <w:sz w:val="16"/>
                <w:szCs w:val="16"/>
              </w:rPr>
            </w:pPr>
            <w:r w:rsidRPr="00BF4166">
              <w:rPr>
                <w:sz w:val="16"/>
                <w:szCs w:val="16"/>
              </w:rPr>
              <w:lastRenderedPageBreak/>
              <w:t>7</w:t>
            </w:r>
          </w:p>
        </w:tc>
        <w:tc>
          <w:tcPr>
            <w:tcW w:w="1428" w:type="dxa"/>
          </w:tcPr>
          <w:p w14:paraId="78E199E6" w14:textId="77777777" w:rsidR="00072CCD" w:rsidRPr="00BF4166" w:rsidRDefault="00072CCD" w:rsidP="0076114A">
            <w:pPr>
              <w:rPr>
                <w:sz w:val="16"/>
                <w:szCs w:val="16"/>
              </w:rPr>
            </w:pPr>
            <w:r w:rsidRPr="00BF4166">
              <w:rPr>
                <w:sz w:val="16"/>
                <w:szCs w:val="16"/>
              </w:rPr>
              <w:t>Distribution</w:t>
            </w:r>
          </w:p>
        </w:tc>
        <w:tc>
          <w:tcPr>
            <w:tcW w:w="1819" w:type="dxa"/>
          </w:tcPr>
          <w:p w14:paraId="01DA0771" w14:textId="6A4D84E7" w:rsidR="00072CCD" w:rsidRPr="00BF4166" w:rsidRDefault="00072CCD" w:rsidP="0076114A">
            <w:pPr>
              <w:rPr>
                <w:sz w:val="16"/>
                <w:szCs w:val="16"/>
              </w:rPr>
            </w:pPr>
            <w:r w:rsidRPr="00BF4166">
              <w:rPr>
                <w:sz w:val="16"/>
                <w:szCs w:val="16"/>
              </w:rPr>
              <w:t>Investors Onboarding &amp; KYC</w:t>
            </w:r>
          </w:p>
        </w:tc>
        <w:tc>
          <w:tcPr>
            <w:tcW w:w="2835" w:type="dxa"/>
          </w:tcPr>
          <w:p w14:paraId="245C2955" w14:textId="3981FF24" w:rsidR="00072CCD" w:rsidRPr="00BF4166" w:rsidRDefault="00072CCD" w:rsidP="0076114A">
            <w:pPr>
              <w:rPr>
                <w:sz w:val="16"/>
                <w:szCs w:val="16"/>
              </w:rPr>
            </w:pPr>
            <w:r w:rsidRPr="00BF4166">
              <w:rPr>
                <w:sz w:val="16"/>
                <w:szCs w:val="16"/>
              </w:rPr>
              <w:t>Investigate how investors may be identified and onboarded (digital ID) Demonstrate how to abide by KYC regulatory framework</w:t>
            </w:r>
          </w:p>
        </w:tc>
        <w:tc>
          <w:tcPr>
            <w:tcW w:w="2801" w:type="dxa"/>
          </w:tcPr>
          <w:p w14:paraId="74CCF5D8" w14:textId="77777777" w:rsidR="00072CCD" w:rsidRDefault="002B48D0" w:rsidP="0076114A">
            <w:pPr>
              <w:rPr>
                <w:sz w:val="16"/>
                <w:szCs w:val="16"/>
              </w:rPr>
            </w:pPr>
            <w:r>
              <w:rPr>
                <w:sz w:val="16"/>
                <w:szCs w:val="16"/>
              </w:rPr>
              <w:t>All about signing for sponsored investors and collecting required data.</w:t>
            </w:r>
          </w:p>
          <w:p w14:paraId="608066B9" w14:textId="77777777" w:rsidR="002B48D0" w:rsidRDefault="002B48D0" w:rsidP="0076114A">
            <w:pPr>
              <w:rPr>
                <w:sz w:val="16"/>
                <w:szCs w:val="16"/>
              </w:rPr>
            </w:pPr>
            <w:r>
              <w:rPr>
                <w:sz w:val="16"/>
                <w:szCs w:val="16"/>
              </w:rPr>
              <w:t>The KYC service is essentially a zero-knowledge proof mechanism published by a distributor to other actors.</w:t>
            </w:r>
          </w:p>
          <w:p w14:paraId="4966723F" w14:textId="77777777" w:rsidR="0075594B" w:rsidRPr="0075594B" w:rsidRDefault="0075594B" w:rsidP="0075594B">
            <w:pPr>
              <w:rPr>
                <w:sz w:val="16"/>
                <w:szCs w:val="16"/>
              </w:rPr>
            </w:pPr>
            <w:r w:rsidRPr="0075594B">
              <w:rPr>
                <w:sz w:val="16"/>
                <w:szCs w:val="16"/>
              </w:rPr>
              <w:t>We acknowledge the fact that there is no “universal digital ID” available but there, but that it may come (soon or later, it will)</w:t>
            </w:r>
          </w:p>
          <w:p w14:paraId="7A39A4D6" w14:textId="77777777" w:rsidR="0075594B" w:rsidRPr="0075594B" w:rsidRDefault="0075594B" w:rsidP="0075594B">
            <w:pPr>
              <w:rPr>
                <w:sz w:val="16"/>
                <w:szCs w:val="16"/>
              </w:rPr>
            </w:pPr>
            <w:r w:rsidRPr="0075594B">
              <w:rPr>
                <w:sz w:val="16"/>
                <w:szCs w:val="16"/>
              </w:rPr>
              <w:t xml:space="preserve">Therefore, the platform has to support a variety of external identification schemes, starting with a plain scan of ID cards. </w:t>
            </w:r>
          </w:p>
          <w:p w14:paraId="0E07143F" w14:textId="77777777" w:rsidR="0075594B" w:rsidRPr="0075594B" w:rsidRDefault="0075594B" w:rsidP="0075594B">
            <w:pPr>
              <w:rPr>
                <w:sz w:val="16"/>
                <w:szCs w:val="16"/>
              </w:rPr>
            </w:pPr>
            <w:r w:rsidRPr="0075594B">
              <w:rPr>
                <w:sz w:val="16"/>
                <w:szCs w:val="16"/>
              </w:rPr>
              <w:t>The POC should provide a stylized version of external identification input in order to demonstrate:</w:t>
            </w:r>
          </w:p>
          <w:p w14:paraId="40A067FD" w14:textId="20B79093" w:rsidR="0075594B" w:rsidRPr="0075594B" w:rsidRDefault="0075594B" w:rsidP="0075594B">
            <w:pPr>
              <w:rPr>
                <w:sz w:val="16"/>
                <w:szCs w:val="16"/>
              </w:rPr>
            </w:pPr>
            <w:r w:rsidRPr="0075594B">
              <w:rPr>
                <w:sz w:val="16"/>
                <w:szCs w:val="16"/>
              </w:rPr>
              <w:t>Onboarding sponsor (i.e. distributor) is able to prove that ID verifications has been performed (in other words, how a distributor connects its own KYC scheme to the platform)</w:t>
            </w:r>
          </w:p>
          <w:p w14:paraId="1FBB03EE" w14:textId="7C7F61EC" w:rsidR="0075594B" w:rsidRPr="00BF4166" w:rsidRDefault="0075594B" w:rsidP="0075594B">
            <w:pPr>
              <w:rPr>
                <w:sz w:val="16"/>
                <w:szCs w:val="16"/>
              </w:rPr>
            </w:pPr>
            <w:r w:rsidRPr="0075594B">
              <w:rPr>
                <w:sz w:val="16"/>
                <w:szCs w:val="16"/>
              </w:rPr>
              <w:t>This party is able to prove that suitability checks have been performed</w:t>
            </w:r>
          </w:p>
        </w:tc>
      </w:tr>
      <w:tr w:rsidR="00072CCD" w:rsidRPr="00BF4166" w14:paraId="47F1AC20" w14:textId="64927981" w:rsidTr="00BF4166">
        <w:tc>
          <w:tcPr>
            <w:tcW w:w="405" w:type="dxa"/>
          </w:tcPr>
          <w:p w14:paraId="148D4B45" w14:textId="18B16F43" w:rsidR="00072CCD" w:rsidRPr="00BF4166" w:rsidRDefault="005C5793" w:rsidP="0076114A">
            <w:pPr>
              <w:rPr>
                <w:sz w:val="16"/>
                <w:szCs w:val="16"/>
              </w:rPr>
            </w:pPr>
            <w:r>
              <w:rPr>
                <w:sz w:val="16"/>
                <w:szCs w:val="16"/>
              </w:rPr>
              <w:t>8</w:t>
            </w:r>
          </w:p>
        </w:tc>
        <w:tc>
          <w:tcPr>
            <w:tcW w:w="1428" w:type="dxa"/>
          </w:tcPr>
          <w:p w14:paraId="0B8D5070" w14:textId="77777777" w:rsidR="00072CCD" w:rsidRPr="00BF4166" w:rsidRDefault="00072CCD" w:rsidP="0076114A">
            <w:pPr>
              <w:rPr>
                <w:sz w:val="16"/>
                <w:szCs w:val="16"/>
              </w:rPr>
            </w:pPr>
            <w:r w:rsidRPr="00BF4166">
              <w:rPr>
                <w:sz w:val="16"/>
                <w:szCs w:val="16"/>
              </w:rPr>
              <w:t>General</w:t>
            </w:r>
          </w:p>
        </w:tc>
        <w:tc>
          <w:tcPr>
            <w:tcW w:w="1819" w:type="dxa"/>
          </w:tcPr>
          <w:p w14:paraId="47539F45" w14:textId="77777777" w:rsidR="00072CCD" w:rsidRPr="00BF4166" w:rsidRDefault="00072CCD" w:rsidP="0076114A">
            <w:pPr>
              <w:rPr>
                <w:sz w:val="16"/>
                <w:szCs w:val="16"/>
              </w:rPr>
            </w:pPr>
            <w:r w:rsidRPr="00BF4166">
              <w:rPr>
                <w:sz w:val="16"/>
                <w:szCs w:val="16"/>
              </w:rPr>
              <w:t>Data privacy</w:t>
            </w:r>
          </w:p>
        </w:tc>
        <w:tc>
          <w:tcPr>
            <w:tcW w:w="2835" w:type="dxa"/>
          </w:tcPr>
          <w:p w14:paraId="6E11F7F3" w14:textId="77777777" w:rsidR="00072CCD" w:rsidRPr="00BF4166" w:rsidRDefault="00072CCD" w:rsidP="0076114A">
            <w:pPr>
              <w:rPr>
                <w:sz w:val="16"/>
                <w:szCs w:val="16"/>
              </w:rPr>
            </w:pPr>
            <w:r w:rsidRPr="00BF4166">
              <w:rPr>
                <w:sz w:val="16"/>
                <w:szCs w:val="16"/>
              </w:rPr>
              <w:t>Data payload may be public, restricted or private</w:t>
            </w:r>
          </w:p>
          <w:p w14:paraId="426215F8" w14:textId="77777777" w:rsidR="00072CCD" w:rsidRPr="00BF4166" w:rsidRDefault="00072CCD" w:rsidP="0076114A">
            <w:pPr>
              <w:rPr>
                <w:sz w:val="16"/>
                <w:szCs w:val="16"/>
              </w:rPr>
            </w:pPr>
            <w:r w:rsidRPr="00BF4166">
              <w:rPr>
                <w:sz w:val="16"/>
                <w:szCs w:val="16"/>
              </w:rPr>
              <w:t>Demonstrate how a DPKI may be deployed and used.</w:t>
            </w:r>
          </w:p>
        </w:tc>
        <w:tc>
          <w:tcPr>
            <w:tcW w:w="2801" w:type="dxa"/>
          </w:tcPr>
          <w:p w14:paraId="624C44F8" w14:textId="5D774C02" w:rsidR="00072CCD" w:rsidRPr="00BF4166" w:rsidRDefault="003B2309" w:rsidP="0076114A">
            <w:pPr>
              <w:rPr>
                <w:sz w:val="16"/>
                <w:szCs w:val="16"/>
              </w:rPr>
            </w:pPr>
            <w:r>
              <w:rPr>
                <w:sz w:val="16"/>
                <w:szCs w:val="16"/>
              </w:rPr>
              <w:t>Privacy handled at the application level</w:t>
            </w:r>
          </w:p>
        </w:tc>
      </w:tr>
      <w:tr w:rsidR="00072CCD" w:rsidRPr="00BF4166" w14:paraId="5461626A" w14:textId="22FEC8A5" w:rsidTr="00BF4166">
        <w:tc>
          <w:tcPr>
            <w:tcW w:w="405" w:type="dxa"/>
          </w:tcPr>
          <w:p w14:paraId="1D652A15" w14:textId="505DEFFA" w:rsidR="00072CCD" w:rsidRPr="00BF4166" w:rsidRDefault="005C5793" w:rsidP="00E010D0">
            <w:pPr>
              <w:rPr>
                <w:sz w:val="16"/>
                <w:szCs w:val="16"/>
              </w:rPr>
            </w:pPr>
            <w:r>
              <w:rPr>
                <w:sz w:val="16"/>
                <w:szCs w:val="16"/>
              </w:rPr>
              <w:t>9</w:t>
            </w:r>
          </w:p>
        </w:tc>
        <w:tc>
          <w:tcPr>
            <w:tcW w:w="1428" w:type="dxa"/>
          </w:tcPr>
          <w:p w14:paraId="4D0C3508" w14:textId="77777777" w:rsidR="00072CCD" w:rsidRPr="00BF4166" w:rsidRDefault="00072CCD" w:rsidP="00E010D0">
            <w:pPr>
              <w:rPr>
                <w:sz w:val="16"/>
                <w:szCs w:val="16"/>
              </w:rPr>
            </w:pPr>
            <w:r w:rsidRPr="00BF4166">
              <w:rPr>
                <w:sz w:val="16"/>
                <w:szCs w:val="16"/>
              </w:rPr>
              <w:t>General</w:t>
            </w:r>
          </w:p>
        </w:tc>
        <w:tc>
          <w:tcPr>
            <w:tcW w:w="1819" w:type="dxa"/>
          </w:tcPr>
          <w:p w14:paraId="685B3FBB" w14:textId="77777777" w:rsidR="00072CCD" w:rsidRPr="00BF4166" w:rsidRDefault="00072CCD" w:rsidP="00E010D0">
            <w:pPr>
              <w:rPr>
                <w:sz w:val="16"/>
                <w:szCs w:val="16"/>
              </w:rPr>
            </w:pPr>
            <w:r w:rsidRPr="00BF4166">
              <w:rPr>
                <w:sz w:val="16"/>
                <w:szCs w:val="16"/>
              </w:rPr>
              <w:t>Scalability</w:t>
            </w:r>
          </w:p>
        </w:tc>
        <w:tc>
          <w:tcPr>
            <w:tcW w:w="2835" w:type="dxa"/>
          </w:tcPr>
          <w:p w14:paraId="0FA8E23F" w14:textId="77777777" w:rsidR="00072CCD" w:rsidRPr="00BF4166" w:rsidRDefault="00072CCD" w:rsidP="00E010D0">
            <w:pPr>
              <w:rPr>
                <w:sz w:val="16"/>
                <w:szCs w:val="16"/>
              </w:rPr>
            </w:pPr>
            <w:r w:rsidRPr="00BF4166">
              <w:rPr>
                <w:sz w:val="16"/>
                <w:szCs w:val="16"/>
              </w:rPr>
              <w:t>Ability to cope with high volumes.</w:t>
            </w:r>
          </w:p>
          <w:p w14:paraId="5CFC4149" w14:textId="45D75E33" w:rsidR="00072CCD" w:rsidRPr="00BF4166" w:rsidRDefault="00072CCD" w:rsidP="00E010D0">
            <w:pPr>
              <w:rPr>
                <w:sz w:val="16"/>
                <w:szCs w:val="16"/>
              </w:rPr>
            </w:pPr>
            <w:r w:rsidRPr="00BF4166">
              <w:rPr>
                <w:sz w:val="16"/>
                <w:szCs w:val="16"/>
              </w:rPr>
              <w:t>Target: 100 million transactions a year on 100 000 funds, with 100 M investors, 5000 issuers and 50 various other service providers.</w:t>
            </w:r>
          </w:p>
        </w:tc>
        <w:tc>
          <w:tcPr>
            <w:tcW w:w="2801" w:type="dxa"/>
          </w:tcPr>
          <w:p w14:paraId="37439903" w14:textId="77777777" w:rsidR="00072CCD" w:rsidRDefault="003B2309" w:rsidP="00E010D0">
            <w:pPr>
              <w:rPr>
                <w:sz w:val="16"/>
                <w:szCs w:val="16"/>
              </w:rPr>
            </w:pPr>
            <w:r>
              <w:rPr>
                <w:sz w:val="16"/>
                <w:szCs w:val="16"/>
              </w:rPr>
              <w:t>Fabric scalability.</w:t>
            </w:r>
          </w:p>
          <w:p w14:paraId="214EF4DF" w14:textId="77777777" w:rsidR="003B2309" w:rsidRDefault="003B2309" w:rsidP="00E010D0">
            <w:pPr>
              <w:rPr>
                <w:sz w:val="16"/>
                <w:szCs w:val="16"/>
              </w:rPr>
            </w:pPr>
            <w:r>
              <w:rPr>
                <w:sz w:val="16"/>
                <w:szCs w:val="16"/>
              </w:rPr>
              <w:t>Co-localization pros and cons.</w:t>
            </w:r>
          </w:p>
          <w:p w14:paraId="236420A9" w14:textId="38564180" w:rsidR="003B2309" w:rsidRPr="00BF4166" w:rsidRDefault="003B2309" w:rsidP="00E010D0">
            <w:pPr>
              <w:rPr>
                <w:sz w:val="16"/>
                <w:szCs w:val="16"/>
              </w:rPr>
            </w:pPr>
            <w:r>
              <w:rPr>
                <w:sz w:val="16"/>
                <w:szCs w:val="16"/>
              </w:rPr>
              <w:t>Application simulator.</w:t>
            </w:r>
          </w:p>
        </w:tc>
      </w:tr>
    </w:tbl>
    <w:p w14:paraId="37094EA1" w14:textId="77777777" w:rsidR="00E010D0" w:rsidRDefault="00E010D0" w:rsidP="00E010D0">
      <w:pPr>
        <w:rPr>
          <w:b/>
          <w:color w:val="C00000"/>
          <w:sz w:val="18"/>
          <w:szCs w:val="18"/>
        </w:rPr>
      </w:pPr>
    </w:p>
    <w:p w14:paraId="31AF2812" w14:textId="77777777" w:rsidR="00072CCD" w:rsidRDefault="00072CCD" w:rsidP="00A747A8">
      <w:pPr>
        <w:pStyle w:val="Commentaire"/>
      </w:pPr>
    </w:p>
    <w:p w14:paraId="660D43AA" w14:textId="7BCDD313" w:rsidR="00A747A8" w:rsidRDefault="00A747A8" w:rsidP="00A747A8">
      <w:pPr>
        <w:pStyle w:val="Commentaire"/>
      </w:pPr>
    </w:p>
    <w:p w14:paraId="71A325D2" w14:textId="77777777" w:rsidR="00A747A8" w:rsidRDefault="00A747A8" w:rsidP="00A747A8">
      <w:pPr>
        <w:pStyle w:val="Commentaire"/>
      </w:pPr>
    </w:p>
    <w:p w14:paraId="52C4E057" w14:textId="77777777" w:rsidR="00A747A8" w:rsidRDefault="00A747A8">
      <w:pPr>
        <w:rPr>
          <w:b/>
          <w:sz w:val="18"/>
          <w:szCs w:val="18"/>
        </w:rPr>
      </w:pPr>
    </w:p>
    <w:p w14:paraId="69E6E310" w14:textId="77777777" w:rsidR="00DE22FC" w:rsidRDefault="00DE22FC">
      <w:pPr>
        <w:rPr>
          <w:b/>
          <w:sz w:val="18"/>
          <w:szCs w:val="18"/>
        </w:rPr>
      </w:pPr>
      <w:r>
        <w:rPr>
          <w:b/>
          <w:sz w:val="18"/>
          <w:szCs w:val="18"/>
        </w:rPr>
        <w:br w:type="page"/>
      </w:r>
    </w:p>
    <w:p w14:paraId="3BFB7304" w14:textId="3B273346" w:rsidR="00F31CEC" w:rsidRDefault="00F31CEC" w:rsidP="00F31CEC">
      <w:pPr>
        <w:pBdr>
          <w:bottom w:val="single" w:sz="4" w:space="1" w:color="auto"/>
        </w:pBdr>
        <w:rPr>
          <w:b/>
          <w:sz w:val="18"/>
          <w:szCs w:val="18"/>
        </w:rPr>
      </w:pPr>
      <w:r>
        <w:rPr>
          <w:b/>
          <w:sz w:val="18"/>
          <w:szCs w:val="18"/>
        </w:rPr>
        <w:t>Toward prototypes: extended POCs</w:t>
      </w:r>
      <w:r w:rsidR="00A361C1">
        <w:rPr>
          <w:b/>
          <w:sz w:val="18"/>
          <w:szCs w:val="18"/>
        </w:rPr>
        <w:t>, covering business processes more extensively</w:t>
      </w:r>
    </w:p>
    <w:p w14:paraId="33F9B40C" w14:textId="77777777" w:rsidR="00A361C1" w:rsidRPr="00136EE2" w:rsidRDefault="00A361C1" w:rsidP="00F31CEC">
      <w:pPr>
        <w:pBdr>
          <w:bottom w:val="single" w:sz="4" w:space="1" w:color="auto"/>
        </w:pBdr>
        <w:rPr>
          <w:b/>
          <w:sz w:val="18"/>
          <w:szCs w:val="18"/>
        </w:rPr>
      </w:pPr>
    </w:p>
    <w:tbl>
      <w:tblPr>
        <w:tblStyle w:val="Grilledutableau"/>
        <w:tblW w:w="9067" w:type="dxa"/>
        <w:tblLook w:val="04A0" w:firstRow="1" w:lastRow="0" w:firstColumn="1" w:lastColumn="0" w:noHBand="0" w:noVBand="1"/>
      </w:tblPr>
      <w:tblGrid>
        <w:gridCol w:w="460"/>
        <w:gridCol w:w="2431"/>
        <w:gridCol w:w="2908"/>
        <w:gridCol w:w="3268"/>
      </w:tblGrid>
      <w:tr w:rsidR="00F31CEC" w:rsidRPr="00DE22FC" w14:paraId="06CFB53D" w14:textId="77777777" w:rsidTr="003B2309">
        <w:tc>
          <w:tcPr>
            <w:tcW w:w="460" w:type="dxa"/>
          </w:tcPr>
          <w:p w14:paraId="38782E9B" w14:textId="77777777" w:rsidR="00F31CEC" w:rsidRPr="00DE22FC" w:rsidRDefault="00F31CEC" w:rsidP="00EA2958">
            <w:pPr>
              <w:rPr>
                <w:rFonts w:cstheme="minorHAnsi"/>
                <w:b/>
                <w:sz w:val="16"/>
                <w:szCs w:val="16"/>
              </w:rPr>
            </w:pPr>
            <w:r w:rsidRPr="00DE22FC">
              <w:rPr>
                <w:rFonts w:cstheme="minorHAnsi"/>
                <w:b/>
                <w:sz w:val="16"/>
                <w:szCs w:val="16"/>
              </w:rPr>
              <w:t>#</w:t>
            </w:r>
          </w:p>
        </w:tc>
        <w:tc>
          <w:tcPr>
            <w:tcW w:w="2431" w:type="dxa"/>
          </w:tcPr>
          <w:p w14:paraId="75A0B517" w14:textId="77777777" w:rsidR="00F31CEC" w:rsidRPr="00DE22FC" w:rsidRDefault="00F31CEC" w:rsidP="00EA2958">
            <w:pPr>
              <w:rPr>
                <w:rFonts w:cstheme="minorHAnsi"/>
                <w:b/>
                <w:sz w:val="16"/>
                <w:szCs w:val="16"/>
              </w:rPr>
            </w:pPr>
            <w:r w:rsidRPr="00DE22FC">
              <w:rPr>
                <w:rFonts w:cstheme="minorHAnsi"/>
                <w:b/>
                <w:sz w:val="16"/>
                <w:szCs w:val="16"/>
              </w:rPr>
              <w:t>POC Theme</w:t>
            </w:r>
          </w:p>
        </w:tc>
        <w:tc>
          <w:tcPr>
            <w:tcW w:w="2908" w:type="dxa"/>
          </w:tcPr>
          <w:p w14:paraId="315029D1" w14:textId="77777777" w:rsidR="00F31CEC" w:rsidRPr="00DE22FC" w:rsidRDefault="00F31CEC" w:rsidP="00EA2958">
            <w:pPr>
              <w:rPr>
                <w:rFonts w:cstheme="minorHAnsi"/>
                <w:b/>
                <w:sz w:val="16"/>
                <w:szCs w:val="16"/>
              </w:rPr>
            </w:pPr>
            <w:r w:rsidRPr="00DE22FC">
              <w:rPr>
                <w:rFonts w:cstheme="minorHAnsi"/>
                <w:b/>
                <w:sz w:val="16"/>
                <w:szCs w:val="16"/>
              </w:rPr>
              <w:t>POC Name</w:t>
            </w:r>
          </w:p>
        </w:tc>
        <w:tc>
          <w:tcPr>
            <w:tcW w:w="3268" w:type="dxa"/>
          </w:tcPr>
          <w:p w14:paraId="6B611782" w14:textId="77777777" w:rsidR="00F31CEC" w:rsidRPr="00DE22FC" w:rsidRDefault="00F31CEC" w:rsidP="00EA2958">
            <w:pPr>
              <w:rPr>
                <w:rFonts w:cstheme="minorHAnsi"/>
                <w:b/>
                <w:sz w:val="16"/>
                <w:szCs w:val="16"/>
              </w:rPr>
            </w:pPr>
            <w:r w:rsidRPr="00DE22FC">
              <w:rPr>
                <w:rFonts w:cstheme="minorHAnsi"/>
                <w:b/>
                <w:sz w:val="16"/>
                <w:szCs w:val="16"/>
              </w:rPr>
              <w:t>POC broad objectives</w:t>
            </w:r>
          </w:p>
        </w:tc>
      </w:tr>
      <w:tr w:rsidR="00F31CEC" w:rsidRPr="00DE22FC" w14:paraId="310F5929" w14:textId="77777777" w:rsidTr="003B2309">
        <w:tc>
          <w:tcPr>
            <w:tcW w:w="460" w:type="dxa"/>
          </w:tcPr>
          <w:p w14:paraId="6968A4EC" w14:textId="77777777" w:rsidR="00F31CEC" w:rsidRPr="00DE22FC" w:rsidRDefault="00A74979" w:rsidP="00EA2958">
            <w:pPr>
              <w:rPr>
                <w:rFonts w:cstheme="minorHAnsi"/>
                <w:sz w:val="16"/>
                <w:szCs w:val="16"/>
              </w:rPr>
            </w:pPr>
            <w:r w:rsidRPr="00DE22FC">
              <w:rPr>
                <w:rFonts w:cstheme="minorHAnsi"/>
                <w:sz w:val="16"/>
                <w:szCs w:val="16"/>
              </w:rPr>
              <w:t>101</w:t>
            </w:r>
          </w:p>
        </w:tc>
        <w:tc>
          <w:tcPr>
            <w:tcW w:w="2431" w:type="dxa"/>
          </w:tcPr>
          <w:p w14:paraId="6E8BE1AD" w14:textId="77777777" w:rsidR="00F31CEC" w:rsidRPr="00DE22FC" w:rsidRDefault="00F31CEC" w:rsidP="00EA2958">
            <w:pPr>
              <w:rPr>
                <w:rFonts w:cstheme="minorHAnsi"/>
                <w:sz w:val="16"/>
                <w:szCs w:val="16"/>
              </w:rPr>
            </w:pPr>
            <w:r w:rsidRPr="00DE22FC">
              <w:rPr>
                <w:rFonts w:cstheme="minorHAnsi"/>
                <w:sz w:val="16"/>
                <w:szCs w:val="16"/>
              </w:rPr>
              <w:t>Investors Registry</w:t>
            </w:r>
          </w:p>
        </w:tc>
        <w:tc>
          <w:tcPr>
            <w:tcW w:w="2908" w:type="dxa"/>
          </w:tcPr>
          <w:p w14:paraId="075D91ED" w14:textId="77777777" w:rsidR="00F31CEC" w:rsidRPr="00DE22FC" w:rsidRDefault="00F31CEC" w:rsidP="00EA2958">
            <w:pPr>
              <w:rPr>
                <w:rFonts w:cstheme="minorHAnsi"/>
                <w:sz w:val="16"/>
                <w:szCs w:val="16"/>
              </w:rPr>
            </w:pPr>
            <w:r w:rsidRPr="00DE22FC">
              <w:rPr>
                <w:rFonts w:cstheme="minorHAnsi"/>
                <w:sz w:val="16"/>
                <w:szCs w:val="16"/>
              </w:rPr>
              <w:t>Cross-jurisdiction orders</w:t>
            </w:r>
          </w:p>
        </w:tc>
        <w:tc>
          <w:tcPr>
            <w:tcW w:w="3268" w:type="dxa"/>
          </w:tcPr>
          <w:p w14:paraId="2BB3F01D" w14:textId="1180F51F" w:rsidR="00F31CEC" w:rsidRPr="00DE22FC" w:rsidRDefault="00F31CEC" w:rsidP="00EA2958">
            <w:pPr>
              <w:rPr>
                <w:rFonts w:cstheme="minorHAnsi"/>
                <w:sz w:val="16"/>
                <w:szCs w:val="16"/>
              </w:rPr>
            </w:pPr>
            <w:r w:rsidRPr="00DE22FC">
              <w:rPr>
                <w:rFonts w:cstheme="minorHAnsi"/>
                <w:sz w:val="16"/>
                <w:szCs w:val="16"/>
              </w:rPr>
              <w:t>Orders abide by multiple jurisdictions</w:t>
            </w:r>
            <w:r w:rsidR="00DE22FC" w:rsidRPr="00DE22FC">
              <w:rPr>
                <w:rFonts w:cstheme="minorHAnsi"/>
                <w:sz w:val="16"/>
                <w:szCs w:val="16"/>
              </w:rPr>
              <w:t>, with a focus on LUX and FR, possibly IRL</w:t>
            </w:r>
          </w:p>
        </w:tc>
      </w:tr>
      <w:tr w:rsidR="00F31CEC" w:rsidRPr="00DE22FC" w14:paraId="08F670C7" w14:textId="77777777" w:rsidTr="003B2309">
        <w:tc>
          <w:tcPr>
            <w:tcW w:w="460" w:type="dxa"/>
          </w:tcPr>
          <w:p w14:paraId="34DC3E74" w14:textId="77777777" w:rsidR="00F31CEC" w:rsidRPr="00DE22FC" w:rsidRDefault="00A74979" w:rsidP="00EA2958">
            <w:pPr>
              <w:rPr>
                <w:rFonts w:cstheme="minorHAnsi"/>
                <w:sz w:val="16"/>
                <w:szCs w:val="16"/>
              </w:rPr>
            </w:pPr>
            <w:r w:rsidRPr="00DE22FC">
              <w:rPr>
                <w:rFonts w:cstheme="minorHAnsi"/>
                <w:sz w:val="16"/>
                <w:szCs w:val="16"/>
              </w:rPr>
              <w:t>102</w:t>
            </w:r>
          </w:p>
        </w:tc>
        <w:tc>
          <w:tcPr>
            <w:tcW w:w="2431" w:type="dxa"/>
          </w:tcPr>
          <w:p w14:paraId="0054C9B4" w14:textId="77777777" w:rsidR="00F31CEC" w:rsidRPr="00DE22FC" w:rsidRDefault="00F31CEC" w:rsidP="00EA2958">
            <w:pPr>
              <w:rPr>
                <w:rFonts w:cstheme="minorHAnsi"/>
                <w:sz w:val="16"/>
                <w:szCs w:val="16"/>
              </w:rPr>
            </w:pPr>
            <w:r w:rsidRPr="00DE22FC">
              <w:rPr>
                <w:rFonts w:cstheme="minorHAnsi"/>
                <w:sz w:val="16"/>
                <w:szCs w:val="16"/>
              </w:rPr>
              <w:t>I</w:t>
            </w:r>
            <w:bookmarkStart w:id="0" w:name="_GoBack"/>
            <w:bookmarkEnd w:id="0"/>
            <w:r w:rsidRPr="00DE22FC">
              <w:rPr>
                <w:rFonts w:cstheme="minorHAnsi"/>
                <w:sz w:val="16"/>
                <w:szCs w:val="16"/>
              </w:rPr>
              <w:t>nvestors Registry</w:t>
            </w:r>
          </w:p>
        </w:tc>
        <w:tc>
          <w:tcPr>
            <w:tcW w:w="2908" w:type="dxa"/>
          </w:tcPr>
          <w:p w14:paraId="4FCA9E89" w14:textId="03456F78" w:rsidR="00F31CEC" w:rsidRPr="00DE22FC" w:rsidRDefault="005C5793" w:rsidP="00EA2958">
            <w:pPr>
              <w:rPr>
                <w:rFonts w:cstheme="minorHAnsi"/>
                <w:sz w:val="16"/>
                <w:szCs w:val="16"/>
              </w:rPr>
            </w:pPr>
            <w:r>
              <w:rPr>
                <w:rFonts w:cstheme="minorHAnsi"/>
                <w:sz w:val="16"/>
                <w:szCs w:val="16"/>
              </w:rPr>
              <w:t xml:space="preserve">Distribution </w:t>
            </w:r>
            <w:r w:rsidR="00F31CEC" w:rsidRPr="00DE22FC">
              <w:rPr>
                <w:rFonts w:cstheme="minorHAnsi"/>
                <w:sz w:val="16"/>
                <w:szCs w:val="16"/>
              </w:rPr>
              <w:t>Fees Management</w:t>
            </w:r>
          </w:p>
        </w:tc>
        <w:tc>
          <w:tcPr>
            <w:tcW w:w="3268" w:type="dxa"/>
          </w:tcPr>
          <w:p w14:paraId="0DE767E9" w14:textId="1C47FD54" w:rsidR="00DE22FC" w:rsidRPr="00DE22FC" w:rsidRDefault="00F31CEC" w:rsidP="00EA2958">
            <w:pPr>
              <w:rPr>
                <w:rFonts w:cstheme="minorHAnsi"/>
                <w:sz w:val="16"/>
                <w:szCs w:val="16"/>
              </w:rPr>
            </w:pPr>
            <w:r w:rsidRPr="00DE22FC">
              <w:rPr>
                <w:rFonts w:cstheme="minorHAnsi"/>
                <w:sz w:val="16"/>
                <w:szCs w:val="16"/>
              </w:rPr>
              <w:t>Calculate &amp; Collect Various fees</w:t>
            </w:r>
            <w:r w:rsidR="00DE22FC" w:rsidRPr="00DE22FC">
              <w:rPr>
                <w:rFonts w:cstheme="minorHAnsi"/>
                <w:sz w:val="16"/>
                <w:szCs w:val="16"/>
              </w:rPr>
              <w:t>, such as entry/exit fees</w:t>
            </w:r>
            <w:r w:rsidRPr="00DE22FC">
              <w:rPr>
                <w:rFonts w:cstheme="minorHAnsi"/>
                <w:sz w:val="16"/>
                <w:szCs w:val="16"/>
              </w:rPr>
              <w:t xml:space="preserve"> (excl. trailer fees)</w:t>
            </w:r>
          </w:p>
          <w:p w14:paraId="534B5A1E" w14:textId="77777777" w:rsidR="00F31CEC" w:rsidRPr="00DE22FC" w:rsidRDefault="00DE22FC" w:rsidP="00EA2958">
            <w:pPr>
              <w:rPr>
                <w:rFonts w:cstheme="minorHAnsi"/>
                <w:sz w:val="16"/>
                <w:szCs w:val="16"/>
              </w:rPr>
            </w:pPr>
            <w:r w:rsidRPr="00DE22FC">
              <w:rPr>
                <w:rFonts w:cstheme="minorHAnsi"/>
                <w:sz w:val="16"/>
                <w:szCs w:val="16"/>
              </w:rPr>
              <w:t>Management fees are out of scope, and more generally all fees charged to the fund (this is the scope of the fund accountant, which accounts for such fees in the NAV)</w:t>
            </w:r>
          </w:p>
          <w:p w14:paraId="2B30C4B0" w14:textId="44CA6797" w:rsidR="00DE22FC" w:rsidRPr="00DE22FC" w:rsidRDefault="00DE22FC" w:rsidP="00EA2958">
            <w:pPr>
              <w:rPr>
                <w:rFonts w:cstheme="minorHAnsi"/>
                <w:sz w:val="16"/>
                <w:szCs w:val="16"/>
              </w:rPr>
            </w:pPr>
            <w:r w:rsidRPr="00DE22FC">
              <w:rPr>
                <w:rFonts w:cstheme="minorHAnsi"/>
                <w:sz w:val="16"/>
                <w:szCs w:val="16"/>
              </w:rPr>
              <w:t>Conceptually we have 2 kinds of fees: upfront fees (entry, exit, and all sort of distribution fees charged by intermediaries on “loaded” share classes – think MIF-2) AND trailer fees (charged by distributors to fund managers)</w:t>
            </w:r>
          </w:p>
        </w:tc>
      </w:tr>
      <w:tr w:rsidR="00F31CEC" w:rsidRPr="00DE22FC" w14:paraId="04A09863" w14:textId="77777777" w:rsidTr="003B2309">
        <w:tc>
          <w:tcPr>
            <w:tcW w:w="460" w:type="dxa"/>
          </w:tcPr>
          <w:p w14:paraId="715137CA" w14:textId="77777777" w:rsidR="00F31CEC" w:rsidRPr="00DE22FC" w:rsidRDefault="00A74979" w:rsidP="00EA2958">
            <w:pPr>
              <w:rPr>
                <w:rFonts w:cstheme="minorHAnsi"/>
                <w:sz w:val="16"/>
                <w:szCs w:val="16"/>
              </w:rPr>
            </w:pPr>
            <w:r w:rsidRPr="00DE22FC">
              <w:rPr>
                <w:rFonts w:cstheme="minorHAnsi"/>
                <w:sz w:val="16"/>
                <w:szCs w:val="16"/>
              </w:rPr>
              <w:t>103</w:t>
            </w:r>
          </w:p>
        </w:tc>
        <w:tc>
          <w:tcPr>
            <w:tcW w:w="2431" w:type="dxa"/>
          </w:tcPr>
          <w:p w14:paraId="53D634BF" w14:textId="77777777" w:rsidR="00F31CEC" w:rsidRPr="00DE22FC" w:rsidRDefault="00F31CEC" w:rsidP="00EA2958">
            <w:pPr>
              <w:rPr>
                <w:rFonts w:cstheme="minorHAnsi"/>
                <w:sz w:val="16"/>
                <w:szCs w:val="16"/>
              </w:rPr>
            </w:pPr>
            <w:r w:rsidRPr="00DE22FC">
              <w:rPr>
                <w:rFonts w:cstheme="minorHAnsi"/>
                <w:sz w:val="16"/>
                <w:szCs w:val="16"/>
              </w:rPr>
              <w:t>Investors Registry</w:t>
            </w:r>
          </w:p>
        </w:tc>
        <w:tc>
          <w:tcPr>
            <w:tcW w:w="2908" w:type="dxa"/>
          </w:tcPr>
          <w:p w14:paraId="5BB260AC" w14:textId="77777777" w:rsidR="00F31CEC" w:rsidRPr="00DE22FC" w:rsidRDefault="00F31CEC" w:rsidP="00EA2958">
            <w:pPr>
              <w:rPr>
                <w:rFonts w:cstheme="minorHAnsi"/>
                <w:sz w:val="16"/>
                <w:szCs w:val="16"/>
              </w:rPr>
            </w:pPr>
            <w:r w:rsidRPr="00DE22FC">
              <w:rPr>
                <w:rFonts w:cstheme="minorHAnsi"/>
                <w:sz w:val="16"/>
                <w:szCs w:val="16"/>
              </w:rPr>
              <w:t>Multi-model registry</w:t>
            </w:r>
          </w:p>
        </w:tc>
        <w:tc>
          <w:tcPr>
            <w:tcW w:w="3268" w:type="dxa"/>
          </w:tcPr>
          <w:p w14:paraId="4924FABD" w14:textId="77777777" w:rsidR="00F31CEC" w:rsidRPr="00DE22FC" w:rsidRDefault="00F31CEC" w:rsidP="00EA2958">
            <w:pPr>
              <w:rPr>
                <w:rFonts w:cstheme="minorHAnsi"/>
                <w:sz w:val="16"/>
                <w:szCs w:val="16"/>
              </w:rPr>
            </w:pPr>
            <w:r w:rsidRPr="00DE22FC">
              <w:rPr>
                <w:rFonts w:cstheme="minorHAnsi"/>
                <w:sz w:val="16"/>
                <w:szCs w:val="16"/>
              </w:rPr>
              <w:t>RTA, CSD and registered form models</w:t>
            </w:r>
          </w:p>
          <w:p w14:paraId="653385CB" w14:textId="0BA8D710" w:rsidR="004E4B2E" w:rsidRPr="00DE22FC" w:rsidRDefault="004E4B2E" w:rsidP="00EA2958">
            <w:pPr>
              <w:rPr>
                <w:rFonts w:cstheme="minorHAnsi"/>
                <w:sz w:val="16"/>
                <w:szCs w:val="16"/>
              </w:rPr>
            </w:pPr>
            <w:r w:rsidRPr="00DE22FC">
              <w:rPr>
                <w:rFonts w:cstheme="minorHAnsi"/>
                <w:sz w:val="16"/>
                <w:szCs w:val="16"/>
              </w:rPr>
              <w:t>Support for multiple forms of ownership.</w:t>
            </w:r>
          </w:p>
        </w:tc>
      </w:tr>
      <w:tr w:rsidR="00F31CEC" w:rsidRPr="00DE22FC" w14:paraId="4E27CBA0" w14:textId="77777777" w:rsidTr="003B2309">
        <w:tc>
          <w:tcPr>
            <w:tcW w:w="460" w:type="dxa"/>
          </w:tcPr>
          <w:p w14:paraId="2002C710" w14:textId="77777777" w:rsidR="00F31CEC" w:rsidRPr="00DE22FC" w:rsidRDefault="00A74979" w:rsidP="00EA2958">
            <w:pPr>
              <w:rPr>
                <w:rFonts w:cstheme="minorHAnsi"/>
                <w:sz w:val="16"/>
                <w:szCs w:val="16"/>
              </w:rPr>
            </w:pPr>
            <w:r w:rsidRPr="00DE22FC">
              <w:rPr>
                <w:rFonts w:cstheme="minorHAnsi"/>
                <w:sz w:val="16"/>
                <w:szCs w:val="16"/>
              </w:rPr>
              <w:t>104</w:t>
            </w:r>
          </w:p>
        </w:tc>
        <w:tc>
          <w:tcPr>
            <w:tcW w:w="2431" w:type="dxa"/>
          </w:tcPr>
          <w:p w14:paraId="259B7406" w14:textId="77777777" w:rsidR="00F31CEC" w:rsidRPr="00DE22FC" w:rsidRDefault="00F31CEC" w:rsidP="00EA2958">
            <w:pPr>
              <w:rPr>
                <w:rFonts w:cstheme="minorHAnsi"/>
                <w:sz w:val="16"/>
                <w:szCs w:val="16"/>
              </w:rPr>
            </w:pPr>
            <w:r w:rsidRPr="00DE22FC">
              <w:rPr>
                <w:rFonts w:cstheme="minorHAnsi"/>
                <w:sz w:val="16"/>
                <w:szCs w:val="16"/>
              </w:rPr>
              <w:t>Investors Registry</w:t>
            </w:r>
          </w:p>
        </w:tc>
        <w:tc>
          <w:tcPr>
            <w:tcW w:w="2908" w:type="dxa"/>
          </w:tcPr>
          <w:p w14:paraId="57BEE165" w14:textId="77777777" w:rsidR="00F31CEC" w:rsidRPr="00DE22FC" w:rsidRDefault="00F31CEC" w:rsidP="00EA2958">
            <w:pPr>
              <w:rPr>
                <w:rFonts w:cstheme="minorHAnsi"/>
                <w:sz w:val="16"/>
                <w:szCs w:val="16"/>
              </w:rPr>
            </w:pPr>
            <w:r w:rsidRPr="00DE22FC">
              <w:rPr>
                <w:rFonts w:cstheme="minorHAnsi"/>
                <w:sz w:val="16"/>
                <w:szCs w:val="16"/>
              </w:rPr>
              <w:t>Adjustments &amp; Transfers</w:t>
            </w:r>
          </w:p>
        </w:tc>
        <w:tc>
          <w:tcPr>
            <w:tcW w:w="3268" w:type="dxa"/>
          </w:tcPr>
          <w:p w14:paraId="69B6827B" w14:textId="77777777" w:rsidR="00F31CEC" w:rsidRPr="00DE22FC" w:rsidRDefault="00F31CEC" w:rsidP="00EA2958">
            <w:pPr>
              <w:rPr>
                <w:rFonts w:cstheme="minorHAnsi"/>
                <w:sz w:val="16"/>
                <w:szCs w:val="16"/>
              </w:rPr>
            </w:pPr>
            <w:r w:rsidRPr="00DE22FC">
              <w:rPr>
                <w:rFonts w:cstheme="minorHAnsi"/>
                <w:sz w:val="16"/>
                <w:szCs w:val="16"/>
              </w:rPr>
              <w:t>Extended order types</w:t>
            </w:r>
          </w:p>
          <w:p w14:paraId="19B8A4B1" w14:textId="77777777" w:rsidR="00DE22FC" w:rsidRPr="00DE22FC" w:rsidRDefault="00DE22FC" w:rsidP="00DE22FC">
            <w:pPr>
              <w:pStyle w:val="Commentaire"/>
              <w:rPr>
                <w:rFonts w:cstheme="minorHAnsi"/>
                <w:sz w:val="16"/>
                <w:szCs w:val="16"/>
              </w:rPr>
            </w:pPr>
            <w:r w:rsidRPr="00DE22FC">
              <w:rPr>
                <w:rFonts w:cstheme="minorHAnsi"/>
                <w:sz w:val="16"/>
                <w:szCs w:val="16"/>
              </w:rPr>
              <w:t>This POC could have been named “Shit Happens”.</w:t>
            </w:r>
          </w:p>
          <w:p w14:paraId="5B92E561" w14:textId="77777777" w:rsidR="00DE22FC" w:rsidRPr="00DE22FC" w:rsidRDefault="00DE22FC" w:rsidP="00DE22FC">
            <w:pPr>
              <w:pStyle w:val="Commentaire"/>
              <w:rPr>
                <w:rFonts w:cstheme="minorHAnsi"/>
                <w:sz w:val="16"/>
                <w:szCs w:val="16"/>
              </w:rPr>
            </w:pPr>
            <w:r w:rsidRPr="00DE22FC">
              <w:rPr>
                <w:rFonts w:cstheme="minorHAnsi"/>
                <w:sz w:val="16"/>
                <w:szCs w:val="16"/>
              </w:rPr>
              <w:t>It is a demonstration of the platform capabilities to be extended to special kind of orders, which are not initiated by an investor, but are adjustments initiated by a registrar.</w:t>
            </w:r>
          </w:p>
          <w:p w14:paraId="50D9CA04" w14:textId="4EBA685C" w:rsidR="00DE22FC" w:rsidRPr="00DE22FC" w:rsidRDefault="00DE22FC" w:rsidP="00DE22FC">
            <w:pPr>
              <w:pStyle w:val="Commentaire"/>
              <w:rPr>
                <w:rFonts w:cstheme="minorHAnsi"/>
                <w:sz w:val="16"/>
                <w:szCs w:val="16"/>
              </w:rPr>
            </w:pPr>
            <w:r w:rsidRPr="00DE22FC">
              <w:rPr>
                <w:rFonts w:cstheme="minorHAnsi"/>
                <w:sz w:val="16"/>
                <w:szCs w:val="16"/>
              </w:rPr>
              <w:t>This flexibility show how real world issues may be tackled by operators</w:t>
            </w:r>
          </w:p>
        </w:tc>
      </w:tr>
      <w:tr w:rsidR="00F31CEC" w:rsidRPr="00DE22FC" w14:paraId="0151C883" w14:textId="77777777" w:rsidTr="003B2309">
        <w:tc>
          <w:tcPr>
            <w:tcW w:w="460" w:type="dxa"/>
          </w:tcPr>
          <w:p w14:paraId="67BBA099" w14:textId="77777777" w:rsidR="00F31CEC" w:rsidRPr="00DE22FC" w:rsidRDefault="00A74979" w:rsidP="00EA2958">
            <w:pPr>
              <w:rPr>
                <w:rFonts w:cstheme="minorHAnsi"/>
                <w:sz w:val="16"/>
                <w:szCs w:val="16"/>
              </w:rPr>
            </w:pPr>
            <w:r w:rsidRPr="00DE22FC">
              <w:rPr>
                <w:rFonts w:cstheme="minorHAnsi"/>
                <w:sz w:val="16"/>
                <w:szCs w:val="16"/>
              </w:rPr>
              <w:t>105</w:t>
            </w:r>
          </w:p>
        </w:tc>
        <w:tc>
          <w:tcPr>
            <w:tcW w:w="2431" w:type="dxa"/>
          </w:tcPr>
          <w:p w14:paraId="240D07DE" w14:textId="77777777" w:rsidR="00F31CEC" w:rsidRPr="00DE22FC" w:rsidRDefault="00F31CEC" w:rsidP="00EA2958">
            <w:pPr>
              <w:rPr>
                <w:rFonts w:cstheme="minorHAnsi"/>
                <w:sz w:val="16"/>
                <w:szCs w:val="16"/>
              </w:rPr>
            </w:pPr>
            <w:r w:rsidRPr="00DE22FC">
              <w:rPr>
                <w:rFonts w:cstheme="minorHAnsi"/>
                <w:sz w:val="16"/>
                <w:szCs w:val="16"/>
              </w:rPr>
              <w:t>Product Master</w:t>
            </w:r>
          </w:p>
        </w:tc>
        <w:tc>
          <w:tcPr>
            <w:tcW w:w="2908" w:type="dxa"/>
          </w:tcPr>
          <w:p w14:paraId="22F393E9" w14:textId="77777777" w:rsidR="00F31CEC" w:rsidRPr="00DE22FC" w:rsidRDefault="00F31CEC" w:rsidP="00EA2958">
            <w:pPr>
              <w:rPr>
                <w:rFonts w:cstheme="minorHAnsi"/>
                <w:sz w:val="16"/>
                <w:szCs w:val="16"/>
              </w:rPr>
            </w:pPr>
            <w:r w:rsidRPr="00DE22FC">
              <w:rPr>
                <w:rFonts w:cstheme="minorHAnsi"/>
                <w:sz w:val="16"/>
                <w:szCs w:val="16"/>
              </w:rPr>
              <w:t>Corporate Actions – Closure &amp; Merger</w:t>
            </w:r>
          </w:p>
        </w:tc>
        <w:tc>
          <w:tcPr>
            <w:tcW w:w="3268" w:type="dxa"/>
          </w:tcPr>
          <w:p w14:paraId="757E1753" w14:textId="2FADAFCB" w:rsidR="00F31CEC" w:rsidRPr="00DE22FC" w:rsidRDefault="00F31CEC" w:rsidP="00EA2958">
            <w:pPr>
              <w:rPr>
                <w:rFonts w:cstheme="minorHAnsi"/>
                <w:sz w:val="16"/>
                <w:szCs w:val="16"/>
              </w:rPr>
            </w:pPr>
            <w:r w:rsidRPr="00DE22FC">
              <w:rPr>
                <w:rFonts w:cstheme="minorHAnsi"/>
                <w:sz w:val="16"/>
                <w:szCs w:val="16"/>
              </w:rPr>
              <w:t>Cover a product</w:t>
            </w:r>
            <w:r w:rsidR="004E4B2E" w:rsidRPr="00DE22FC">
              <w:rPr>
                <w:rFonts w:cstheme="minorHAnsi"/>
                <w:sz w:val="16"/>
                <w:szCs w:val="16"/>
              </w:rPr>
              <w:t>’s</w:t>
            </w:r>
            <w:r w:rsidRPr="00DE22FC">
              <w:rPr>
                <w:rFonts w:cstheme="minorHAnsi"/>
                <w:sz w:val="16"/>
                <w:szCs w:val="16"/>
              </w:rPr>
              <w:t xml:space="preserve"> life-cycle</w:t>
            </w:r>
          </w:p>
        </w:tc>
      </w:tr>
      <w:tr w:rsidR="00F31CEC" w:rsidRPr="00DE22FC" w14:paraId="29CE3E73" w14:textId="77777777" w:rsidTr="003B2309">
        <w:tc>
          <w:tcPr>
            <w:tcW w:w="460" w:type="dxa"/>
          </w:tcPr>
          <w:p w14:paraId="3985F8B8" w14:textId="77777777" w:rsidR="00F31CEC" w:rsidRPr="00DE22FC" w:rsidRDefault="00A74979" w:rsidP="00EA2958">
            <w:pPr>
              <w:rPr>
                <w:rFonts w:cstheme="minorHAnsi"/>
                <w:sz w:val="16"/>
                <w:szCs w:val="16"/>
              </w:rPr>
            </w:pPr>
            <w:r w:rsidRPr="00DE22FC">
              <w:rPr>
                <w:rFonts w:cstheme="minorHAnsi"/>
                <w:sz w:val="16"/>
                <w:szCs w:val="16"/>
              </w:rPr>
              <w:t>106</w:t>
            </w:r>
          </w:p>
        </w:tc>
        <w:tc>
          <w:tcPr>
            <w:tcW w:w="2431" w:type="dxa"/>
          </w:tcPr>
          <w:p w14:paraId="63A38E59" w14:textId="77777777" w:rsidR="00F31CEC" w:rsidRPr="00DE22FC" w:rsidRDefault="00F31CEC" w:rsidP="00EA2958">
            <w:pPr>
              <w:rPr>
                <w:rFonts w:cstheme="minorHAnsi"/>
                <w:sz w:val="16"/>
                <w:szCs w:val="16"/>
              </w:rPr>
            </w:pPr>
            <w:r w:rsidRPr="00DE22FC">
              <w:rPr>
                <w:rFonts w:cstheme="minorHAnsi"/>
                <w:sz w:val="16"/>
                <w:szCs w:val="16"/>
              </w:rPr>
              <w:t>Product Master</w:t>
            </w:r>
          </w:p>
        </w:tc>
        <w:tc>
          <w:tcPr>
            <w:tcW w:w="2908" w:type="dxa"/>
          </w:tcPr>
          <w:p w14:paraId="1498DA08" w14:textId="77777777" w:rsidR="00F31CEC" w:rsidRPr="00DE22FC" w:rsidRDefault="00F31CEC" w:rsidP="00EA2958">
            <w:pPr>
              <w:rPr>
                <w:rFonts w:cstheme="minorHAnsi"/>
                <w:sz w:val="16"/>
                <w:szCs w:val="16"/>
              </w:rPr>
            </w:pPr>
            <w:r w:rsidRPr="00DE22FC">
              <w:rPr>
                <w:rFonts w:cstheme="minorHAnsi"/>
                <w:sz w:val="16"/>
                <w:szCs w:val="16"/>
              </w:rPr>
              <w:t>Document production; KIID, …</w:t>
            </w:r>
          </w:p>
        </w:tc>
        <w:tc>
          <w:tcPr>
            <w:tcW w:w="3268" w:type="dxa"/>
          </w:tcPr>
          <w:p w14:paraId="171BC08E" w14:textId="77777777" w:rsidR="00DE22FC" w:rsidRPr="00DE22FC" w:rsidRDefault="00F31CEC" w:rsidP="00EA2958">
            <w:pPr>
              <w:rPr>
                <w:rFonts w:cstheme="minorHAnsi"/>
                <w:sz w:val="16"/>
                <w:szCs w:val="16"/>
              </w:rPr>
            </w:pPr>
            <w:r w:rsidRPr="00DE22FC">
              <w:rPr>
                <w:rFonts w:cstheme="minorHAnsi"/>
                <w:sz w:val="16"/>
                <w:szCs w:val="16"/>
              </w:rPr>
              <w:t>Generate regulatory documentation</w:t>
            </w:r>
          </w:p>
          <w:p w14:paraId="3473328A" w14:textId="624804F9" w:rsidR="00DE22FC" w:rsidRPr="00DE22FC" w:rsidRDefault="00DE22FC" w:rsidP="00DE22FC">
            <w:pPr>
              <w:rPr>
                <w:rFonts w:cstheme="minorHAnsi"/>
                <w:sz w:val="16"/>
                <w:szCs w:val="16"/>
              </w:rPr>
            </w:pPr>
            <w:r w:rsidRPr="00DE22FC">
              <w:rPr>
                <w:rFonts w:cstheme="minorHAnsi"/>
                <w:sz w:val="16"/>
                <w:szCs w:val="16"/>
              </w:rPr>
              <w:t>Include commercial documentation as well.</w:t>
            </w:r>
          </w:p>
          <w:p w14:paraId="42669713" w14:textId="77777777" w:rsidR="00DE22FC" w:rsidRPr="00DE22FC" w:rsidRDefault="00DE22FC" w:rsidP="00DE22FC">
            <w:pPr>
              <w:pStyle w:val="Commentaire"/>
              <w:rPr>
                <w:rFonts w:cstheme="minorHAnsi"/>
                <w:sz w:val="16"/>
                <w:szCs w:val="16"/>
              </w:rPr>
            </w:pPr>
            <w:r w:rsidRPr="00DE22FC">
              <w:rPr>
                <w:rFonts w:cstheme="minorHAnsi"/>
                <w:sz w:val="16"/>
                <w:szCs w:val="16"/>
              </w:rPr>
              <w:t>The POC objective is simply to demonstrate how we may extend the fund chaincode in a proper document database with stamped, versioned documents which reflect the actual chaincode state.</w:t>
            </w:r>
          </w:p>
          <w:p w14:paraId="46F11562" w14:textId="44A44663" w:rsidR="00F31CEC" w:rsidRPr="00DE22FC" w:rsidRDefault="00DE22FC" w:rsidP="00DE22FC">
            <w:pPr>
              <w:pStyle w:val="Commentaire"/>
              <w:rPr>
                <w:rFonts w:cstheme="minorHAnsi"/>
                <w:sz w:val="16"/>
                <w:szCs w:val="16"/>
              </w:rPr>
            </w:pPr>
            <w:r w:rsidRPr="00DE22FC">
              <w:rPr>
                <w:rFonts w:cstheme="minorHAnsi"/>
                <w:sz w:val="16"/>
                <w:szCs w:val="16"/>
              </w:rPr>
              <w:t>This extends to various fact sheets and marketing documents attached to the chain code and which may be appended by a distributor to its own fund chaincode directory.</w:t>
            </w:r>
          </w:p>
        </w:tc>
      </w:tr>
      <w:tr w:rsidR="00F31CEC" w:rsidRPr="00DE22FC" w14:paraId="04DA03CB" w14:textId="77777777" w:rsidTr="003B2309">
        <w:tc>
          <w:tcPr>
            <w:tcW w:w="460" w:type="dxa"/>
          </w:tcPr>
          <w:p w14:paraId="683E8031" w14:textId="77777777" w:rsidR="00F31CEC" w:rsidRPr="00DE22FC" w:rsidRDefault="00A74979" w:rsidP="00EA2958">
            <w:pPr>
              <w:rPr>
                <w:rFonts w:cstheme="minorHAnsi"/>
                <w:sz w:val="16"/>
                <w:szCs w:val="16"/>
              </w:rPr>
            </w:pPr>
            <w:r w:rsidRPr="00DE22FC">
              <w:rPr>
                <w:rFonts w:cstheme="minorHAnsi"/>
                <w:sz w:val="16"/>
                <w:szCs w:val="16"/>
              </w:rPr>
              <w:t>107</w:t>
            </w:r>
          </w:p>
        </w:tc>
        <w:tc>
          <w:tcPr>
            <w:tcW w:w="2431" w:type="dxa"/>
          </w:tcPr>
          <w:p w14:paraId="40C8BD67" w14:textId="77777777" w:rsidR="00F31CEC" w:rsidRPr="00DE22FC" w:rsidRDefault="00F31CEC" w:rsidP="00EA2958">
            <w:pPr>
              <w:rPr>
                <w:rFonts w:cstheme="minorHAnsi"/>
                <w:sz w:val="16"/>
                <w:szCs w:val="16"/>
              </w:rPr>
            </w:pPr>
            <w:r w:rsidRPr="00DE22FC">
              <w:rPr>
                <w:rFonts w:cstheme="minorHAnsi"/>
                <w:sz w:val="16"/>
                <w:szCs w:val="16"/>
              </w:rPr>
              <w:t>Settlement</w:t>
            </w:r>
          </w:p>
        </w:tc>
        <w:tc>
          <w:tcPr>
            <w:tcW w:w="2908" w:type="dxa"/>
          </w:tcPr>
          <w:p w14:paraId="7016FDF1" w14:textId="0F5F061F" w:rsidR="00F31CEC" w:rsidRPr="00DE22FC" w:rsidRDefault="00F31CEC" w:rsidP="00EA2958">
            <w:pPr>
              <w:rPr>
                <w:rFonts w:cstheme="minorHAnsi"/>
                <w:sz w:val="16"/>
                <w:szCs w:val="16"/>
              </w:rPr>
            </w:pPr>
            <w:r w:rsidRPr="00DE22FC">
              <w:rPr>
                <w:rFonts w:cstheme="minorHAnsi"/>
                <w:sz w:val="16"/>
                <w:szCs w:val="16"/>
              </w:rPr>
              <w:t xml:space="preserve">Corporate Actions </w:t>
            </w:r>
            <w:r w:rsidR="005C5793">
              <w:rPr>
                <w:rFonts w:cstheme="minorHAnsi"/>
                <w:sz w:val="16"/>
                <w:szCs w:val="16"/>
              </w:rPr>
              <w:t>–</w:t>
            </w:r>
            <w:r w:rsidRPr="00DE22FC">
              <w:rPr>
                <w:rFonts w:cstheme="minorHAnsi"/>
                <w:sz w:val="16"/>
                <w:szCs w:val="16"/>
              </w:rPr>
              <w:t xml:space="preserve"> Dividend</w:t>
            </w:r>
          </w:p>
        </w:tc>
        <w:tc>
          <w:tcPr>
            <w:tcW w:w="3268" w:type="dxa"/>
          </w:tcPr>
          <w:p w14:paraId="3D190B79" w14:textId="77777777" w:rsidR="00F31CEC" w:rsidRPr="00DE22FC" w:rsidRDefault="00A74979" w:rsidP="00EA2958">
            <w:pPr>
              <w:rPr>
                <w:rFonts w:cstheme="minorHAnsi"/>
                <w:sz w:val="16"/>
                <w:szCs w:val="16"/>
              </w:rPr>
            </w:pPr>
            <w:r w:rsidRPr="00DE22FC">
              <w:rPr>
                <w:rFonts w:cstheme="minorHAnsi"/>
                <w:sz w:val="16"/>
                <w:szCs w:val="16"/>
              </w:rPr>
              <w:t>Demonstrate how a fund pays a dividend</w:t>
            </w:r>
          </w:p>
        </w:tc>
      </w:tr>
      <w:tr w:rsidR="00F31CEC" w:rsidRPr="00DE22FC" w14:paraId="21EE50A4" w14:textId="77777777" w:rsidTr="003B2309">
        <w:tc>
          <w:tcPr>
            <w:tcW w:w="460" w:type="dxa"/>
          </w:tcPr>
          <w:p w14:paraId="3AD02643" w14:textId="77777777" w:rsidR="00F31CEC" w:rsidRPr="00DE22FC" w:rsidRDefault="00A74979" w:rsidP="00EA2958">
            <w:pPr>
              <w:rPr>
                <w:rFonts w:cstheme="minorHAnsi"/>
                <w:sz w:val="16"/>
                <w:szCs w:val="16"/>
              </w:rPr>
            </w:pPr>
            <w:r w:rsidRPr="00DE22FC">
              <w:rPr>
                <w:rFonts w:cstheme="minorHAnsi"/>
                <w:sz w:val="16"/>
                <w:szCs w:val="16"/>
              </w:rPr>
              <w:t>108</w:t>
            </w:r>
          </w:p>
        </w:tc>
        <w:tc>
          <w:tcPr>
            <w:tcW w:w="2431" w:type="dxa"/>
          </w:tcPr>
          <w:p w14:paraId="5E58B5EC" w14:textId="77777777" w:rsidR="00F31CEC" w:rsidRPr="00DE22FC" w:rsidRDefault="00F31CEC" w:rsidP="00EA2958">
            <w:pPr>
              <w:rPr>
                <w:rFonts w:cstheme="minorHAnsi"/>
                <w:sz w:val="16"/>
                <w:szCs w:val="16"/>
              </w:rPr>
            </w:pPr>
            <w:r w:rsidRPr="00DE22FC">
              <w:rPr>
                <w:rFonts w:cstheme="minorHAnsi"/>
                <w:sz w:val="16"/>
                <w:szCs w:val="16"/>
              </w:rPr>
              <w:t>Distribution</w:t>
            </w:r>
          </w:p>
        </w:tc>
        <w:tc>
          <w:tcPr>
            <w:tcW w:w="2908" w:type="dxa"/>
          </w:tcPr>
          <w:p w14:paraId="0C4819EC" w14:textId="0962F681" w:rsidR="00F31CEC" w:rsidRPr="00DE22FC" w:rsidRDefault="00180D8E" w:rsidP="00EA2958">
            <w:pPr>
              <w:rPr>
                <w:rFonts w:cstheme="minorHAnsi"/>
                <w:sz w:val="16"/>
                <w:szCs w:val="16"/>
              </w:rPr>
            </w:pPr>
            <w:r>
              <w:rPr>
                <w:rFonts w:cstheme="minorHAnsi"/>
                <w:sz w:val="16"/>
                <w:szCs w:val="16"/>
              </w:rPr>
              <w:t>D</w:t>
            </w:r>
            <w:r w:rsidR="00F31CEC" w:rsidRPr="00DE22FC">
              <w:rPr>
                <w:rFonts w:cstheme="minorHAnsi"/>
                <w:sz w:val="16"/>
                <w:szCs w:val="16"/>
              </w:rPr>
              <w:t>istribution agreements &amp; Trailer fees</w:t>
            </w:r>
          </w:p>
        </w:tc>
        <w:tc>
          <w:tcPr>
            <w:tcW w:w="3268" w:type="dxa"/>
          </w:tcPr>
          <w:p w14:paraId="45171786" w14:textId="77777777" w:rsidR="00F31CEC" w:rsidRPr="00DE22FC" w:rsidRDefault="00A74979" w:rsidP="00EA2958">
            <w:pPr>
              <w:rPr>
                <w:rFonts w:cstheme="minorHAnsi"/>
                <w:sz w:val="16"/>
                <w:szCs w:val="16"/>
              </w:rPr>
            </w:pPr>
            <w:r w:rsidRPr="00DE22FC">
              <w:rPr>
                <w:rFonts w:cstheme="minorHAnsi"/>
                <w:sz w:val="16"/>
                <w:szCs w:val="16"/>
              </w:rPr>
              <w:t>Handle distribution agreements and calculate accurate trailer fees</w:t>
            </w:r>
          </w:p>
        </w:tc>
      </w:tr>
      <w:tr w:rsidR="00F31CEC" w:rsidRPr="00DE22FC" w14:paraId="604C853E" w14:textId="77777777" w:rsidTr="003B2309">
        <w:tc>
          <w:tcPr>
            <w:tcW w:w="460" w:type="dxa"/>
          </w:tcPr>
          <w:p w14:paraId="4E9858B4" w14:textId="77777777" w:rsidR="00F31CEC" w:rsidRPr="00DE22FC" w:rsidRDefault="00A74979" w:rsidP="00EA2958">
            <w:pPr>
              <w:rPr>
                <w:rFonts w:cstheme="minorHAnsi"/>
                <w:sz w:val="16"/>
                <w:szCs w:val="16"/>
              </w:rPr>
            </w:pPr>
            <w:r w:rsidRPr="00DE22FC">
              <w:rPr>
                <w:rFonts w:cstheme="minorHAnsi"/>
                <w:sz w:val="16"/>
                <w:szCs w:val="16"/>
              </w:rPr>
              <w:t>109</w:t>
            </w:r>
          </w:p>
        </w:tc>
        <w:tc>
          <w:tcPr>
            <w:tcW w:w="2431" w:type="dxa"/>
          </w:tcPr>
          <w:p w14:paraId="458FC2EA" w14:textId="77777777" w:rsidR="00F31CEC" w:rsidRPr="00DE22FC" w:rsidRDefault="00F31CEC" w:rsidP="00EA2958">
            <w:pPr>
              <w:rPr>
                <w:rFonts w:cstheme="minorHAnsi"/>
                <w:sz w:val="16"/>
                <w:szCs w:val="16"/>
              </w:rPr>
            </w:pPr>
            <w:r w:rsidRPr="00DE22FC">
              <w:rPr>
                <w:rFonts w:cstheme="minorHAnsi"/>
                <w:sz w:val="16"/>
                <w:szCs w:val="16"/>
              </w:rPr>
              <w:t>General</w:t>
            </w:r>
          </w:p>
        </w:tc>
        <w:tc>
          <w:tcPr>
            <w:tcW w:w="2908" w:type="dxa"/>
          </w:tcPr>
          <w:p w14:paraId="37355676" w14:textId="77777777" w:rsidR="00F31CEC" w:rsidRPr="00DE22FC" w:rsidRDefault="00F31CEC" w:rsidP="00EA2958">
            <w:pPr>
              <w:rPr>
                <w:rFonts w:cstheme="minorHAnsi"/>
                <w:sz w:val="16"/>
                <w:szCs w:val="16"/>
              </w:rPr>
            </w:pPr>
            <w:r w:rsidRPr="00DE22FC">
              <w:rPr>
                <w:rFonts w:cstheme="minorHAnsi"/>
                <w:sz w:val="16"/>
                <w:szCs w:val="16"/>
              </w:rPr>
              <w:t>In-platform invoicing &amp; payment</w:t>
            </w:r>
          </w:p>
        </w:tc>
        <w:tc>
          <w:tcPr>
            <w:tcW w:w="3268" w:type="dxa"/>
          </w:tcPr>
          <w:p w14:paraId="1442C356" w14:textId="77777777" w:rsidR="00F31CEC" w:rsidRPr="00DE22FC" w:rsidRDefault="00F31CEC" w:rsidP="00EA2958">
            <w:pPr>
              <w:rPr>
                <w:rFonts w:cstheme="minorHAnsi"/>
                <w:sz w:val="16"/>
                <w:szCs w:val="16"/>
              </w:rPr>
            </w:pPr>
            <w:r w:rsidRPr="00DE22FC">
              <w:rPr>
                <w:rFonts w:cstheme="minorHAnsi"/>
                <w:sz w:val="16"/>
                <w:szCs w:val="16"/>
              </w:rPr>
              <w:t>Ability to orchestrate services invoicing and payment</w:t>
            </w:r>
          </w:p>
        </w:tc>
      </w:tr>
      <w:tr w:rsidR="00F31CEC" w:rsidRPr="00DE22FC" w14:paraId="2B7522DD" w14:textId="77777777" w:rsidTr="003B2309">
        <w:tc>
          <w:tcPr>
            <w:tcW w:w="460" w:type="dxa"/>
          </w:tcPr>
          <w:p w14:paraId="72A094E8" w14:textId="77777777" w:rsidR="00F31CEC" w:rsidRPr="00DE22FC" w:rsidRDefault="00A74979" w:rsidP="00EA2958">
            <w:pPr>
              <w:rPr>
                <w:rFonts w:cstheme="minorHAnsi"/>
                <w:sz w:val="16"/>
                <w:szCs w:val="16"/>
              </w:rPr>
            </w:pPr>
            <w:r w:rsidRPr="00DE22FC">
              <w:rPr>
                <w:rFonts w:cstheme="minorHAnsi"/>
                <w:sz w:val="16"/>
                <w:szCs w:val="16"/>
              </w:rPr>
              <w:t>110</w:t>
            </w:r>
          </w:p>
        </w:tc>
        <w:tc>
          <w:tcPr>
            <w:tcW w:w="2431" w:type="dxa"/>
          </w:tcPr>
          <w:p w14:paraId="157D6C04" w14:textId="77777777" w:rsidR="00F31CEC" w:rsidRPr="00DE22FC" w:rsidRDefault="00A74979" w:rsidP="00EA2958">
            <w:pPr>
              <w:rPr>
                <w:rFonts w:cstheme="minorHAnsi"/>
                <w:sz w:val="16"/>
                <w:szCs w:val="16"/>
              </w:rPr>
            </w:pPr>
            <w:r w:rsidRPr="00DE22FC">
              <w:rPr>
                <w:rFonts w:cstheme="minorHAnsi"/>
                <w:sz w:val="16"/>
                <w:szCs w:val="16"/>
              </w:rPr>
              <w:t>General</w:t>
            </w:r>
          </w:p>
        </w:tc>
        <w:tc>
          <w:tcPr>
            <w:tcW w:w="2908" w:type="dxa"/>
          </w:tcPr>
          <w:p w14:paraId="07A57FF1" w14:textId="77777777" w:rsidR="00F31CEC" w:rsidRPr="00DE22FC" w:rsidRDefault="00A74979" w:rsidP="00EA2958">
            <w:pPr>
              <w:rPr>
                <w:rFonts w:cstheme="minorHAnsi"/>
                <w:sz w:val="16"/>
                <w:szCs w:val="16"/>
              </w:rPr>
            </w:pPr>
            <w:r w:rsidRPr="00DE22FC">
              <w:rPr>
                <w:rFonts w:cstheme="minorHAnsi"/>
                <w:sz w:val="16"/>
                <w:szCs w:val="16"/>
              </w:rPr>
              <w:t>Security</w:t>
            </w:r>
          </w:p>
        </w:tc>
        <w:tc>
          <w:tcPr>
            <w:tcW w:w="3268" w:type="dxa"/>
          </w:tcPr>
          <w:p w14:paraId="7329F3A6" w14:textId="72459E4B" w:rsidR="00F31CEC" w:rsidRPr="00DE22FC" w:rsidRDefault="00A74979" w:rsidP="00EA2958">
            <w:pPr>
              <w:rPr>
                <w:rFonts w:cstheme="minorHAnsi"/>
                <w:sz w:val="16"/>
                <w:szCs w:val="16"/>
              </w:rPr>
            </w:pPr>
            <w:r w:rsidRPr="00DE22FC">
              <w:rPr>
                <w:rFonts w:cstheme="minorHAnsi"/>
                <w:sz w:val="16"/>
                <w:szCs w:val="16"/>
              </w:rPr>
              <w:t xml:space="preserve">Ability for all participants to communicate </w:t>
            </w:r>
            <w:r w:rsidR="00102378" w:rsidRPr="00DE22FC">
              <w:rPr>
                <w:rFonts w:cstheme="minorHAnsi"/>
                <w:sz w:val="16"/>
                <w:szCs w:val="16"/>
              </w:rPr>
              <w:t xml:space="preserve">securely </w:t>
            </w:r>
            <w:r w:rsidRPr="00DE22FC">
              <w:rPr>
                <w:rFonts w:cstheme="minorHAnsi"/>
                <w:sz w:val="16"/>
                <w:szCs w:val="16"/>
              </w:rPr>
              <w:t>with each other</w:t>
            </w:r>
          </w:p>
        </w:tc>
      </w:tr>
      <w:tr w:rsidR="001B58C0" w:rsidRPr="00DE22FC" w14:paraId="7C0DA386" w14:textId="77777777" w:rsidTr="003B2309">
        <w:tc>
          <w:tcPr>
            <w:tcW w:w="460" w:type="dxa"/>
          </w:tcPr>
          <w:p w14:paraId="47C73FFE" w14:textId="77777777" w:rsidR="001B58C0" w:rsidRPr="00DE22FC" w:rsidRDefault="001B58C0" w:rsidP="00EA2958">
            <w:pPr>
              <w:rPr>
                <w:rFonts w:cstheme="minorHAnsi"/>
                <w:sz w:val="16"/>
                <w:szCs w:val="16"/>
              </w:rPr>
            </w:pPr>
            <w:r w:rsidRPr="00DE22FC">
              <w:rPr>
                <w:rFonts w:cstheme="minorHAnsi"/>
                <w:sz w:val="16"/>
                <w:szCs w:val="16"/>
              </w:rPr>
              <w:t>111</w:t>
            </w:r>
          </w:p>
        </w:tc>
        <w:tc>
          <w:tcPr>
            <w:tcW w:w="2431" w:type="dxa"/>
          </w:tcPr>
          <w:p w14:paraId="41EEC698" w14:textId="77777777" w:rsidR="001B58C0" w:rsidRPr="00DE22FC" w:rsidRDefault="001B58C0" w:rsidP="00EA2958">
            <w:pPr>
              <w:rPr>
                <w:rFonts w:cstheme="minorHAnsi"/>
                <w:sz w:val="16"/>
                <w:szCs w:val="16"/>
              </w:rPr>
            </w:pPr>
            <w:r w:rsidRPr="00DE22FC">
              <w:rPr>
                <w:rFonts w:cstheme="minorHAnsi"/>
                <w:sz w:val="16"/>
                <w:szCs w:val="16"/>
              </w:rPr>
              <w:t>Distribution</w:t>
            </w:r>
          </w:p>
        </w:tc>
        <w:tc>
          <w:tcPr>
            <w:tcW w:w="2908" w:type="dxa"/>
          </w:tcPr>
          <w:p w14:paraId="00458E76" w14:textId="77777777" w:rsidR="001B58C0" w:rsidRPr="00DE22FC" w:rsidRDefault="001B58C0" w:rsidP="00EA2958">
            <w:pPr>
              <w:rPr>
                <w:rFonts w:cstheme="minorHAnsi"/>
                <w:sz w:val="16"/>
                <w:szCs w:val="16"/>
              </w:rPr>
            </w:pPr>
            <w:r w:rsidRPr="00DE22FC">
              <w:rPr>
                <w:rFonts w:cstheme="minorHAnsi"/>
                <w:sz w:val="16"/>
                <w:szCs w:val="16"/>
              </w:rPr>
              <w:t>UCITS, multiple agreements</w:t>
            </w:r>
          </w:p>
        </w:tc>
        <w:tc>
          <w:tcPr>
            <w:tcW w:w="3268" w:type="dxa"/>
          </w:tcPr>
          <w:p w14:paraId="07770529" w14:textId="77777777" w:rsidR="001B58C0" w:rsidRPr="00DE22FC" w:rsidRDefault="001B58C0" w:rsidP="00EA2958">
            <w:pPr>
              <w:rPr>
                <w:rFonts w:cstheme="minorHAnsi"/>
                <w:sz w:val="16"/>
                <w:szCs w:val="16"/>
              </w:rPr>
            </w:pPr>
          </w:p>
        </w:tc>
      </w:tr>
      <w:tr w:rsidR="001B58C0" w:rsidRPr="00DE22FC" w14:paraId="19F69182" w14:textId="77777777" w:rsidTr="003B2309">
        <w:tc>
          <w:tcPr>
            <w:tcW w:w="460" w:type="dxa"/>
          </w:tcPr>
          <w:p w14:paraId="32474BA6" w14:textId="77777777" w:rsidR="001B58C0" w:rsidRPr="00DE22FC" w:rsidRDefault="001B58C0" w:rsidP="00EA2958">
            <w:pPr>
              <w:rPr>
                <w:rFonts w:cstheme="minorHAnsi"/>
                <w:sz w:val="16"/>
                <w:szCs w:val="16"/>
              </w:rPr>
            </w:pPr>
            <w:r w:rsidRPr="00DE22FC">
              <w:rPr>
                <w:rFonts w:cstheme="minorHAnsi"/>
                <w:sz w:val="16"/>
                <w:szCs w:val="16"/>
              </w:rPr>
              <w:t>112</w:t>
            </w:r>
          </w:p>
        </w:tc>
        <w:tc>
          <w:tcPr>
            <w:tcW w:w="2431" w:type="dxa"/>
          </w:tcPr>
          <w:p w14:paraId="742DF34C" w14:textId="77777777" w:rsidR="001B58C0" w:rsidRPr="00DE22FC" w:rsidRDefault="001B58C0" w:rsidP="00EA2958">
            <w:pPr>
              <w:rPr>
                <w:rFonts w:cstheme="minorHAnsi"/>
                <w:sz w:val="16"/>
                <w:szCs w:val="16"/>
              </w:rPr>
            </w:pPr>
            <w:r w:rsidRPr="00DE22FC">
              <w:rPr>
                <w:rFonts w:cstheme="minorHAnsi"/>
                <w:sz w:val="16"/>
                <w:szCs w:val="16"/>
              </w:rPr>
              <w:t>Distribution</w:t>
            </w:r>
          </w:p>
        </w:tc>
        <w:tc>
          <w:tcPr>
            <w:tcW w:w="2908" w:type="dxa"/>
          </w:tcPr>
          <w:p w14:paraId="21DB9C34" w14:textId="77777777" w:rsidR="001B58C0" w:rsidRPr="00DE22FC" w:rsidRDefault="001B58C0" w:rsidP="00EA2958">
            <w:pPr>
              <w:rPr>
                <w:rFonts w:cstheme="minorHAnsi"/>
                <w:sz w:val="16"/>
                <w:szCs w:val="16"/>
              </w:rPr>
            </w:pPr>
            <w:r w:rsidRPr="00DE22FC">
              <w:rPr>
                <w:rFonts w:cstheme="minorHAnsi"/>
                <w:sz w:val="16"/>
                <w:szCs w:val="16"/>
              </w:rPr>
              <w:t>Robo advisor</w:t>
            </w:r>
          </w:p>
        </w:tc>
        <w:tc>
          <w:tcPr>
            <w:tcW w:w="3268" w:type="dxa"/>
          </w:tcPr>
          <w:p w14:paraId="01043875" w14:textId="4EAC039C" w:rsidR="001B58C0" w:rsidRPr="00DE22FC" w:rsidRDefault="002B48D0" w:rsidP="00EA2958">
            <w:pPr>
              <w:rPr>
                <w:rFonts w:cstheme="minorHAnsi"/>
                <w:sz w:val="16"/>
                <w:szCs w:val="16"/>
              </w:rPr>
            </w:pPr>
            <w:r>
              <w:rPr>
                <w:rFonts w:cstheme="minorHAnsi"/>
                <w:sz w:val="16"/>
                <w:szCs w:val="16"/>
              </w:rPr>
              <w:t>An out-of-DLT add-on to deliver an integrated user experience</w:t>
            </w:r>
          </w:p>
        </w:tc>
      </w:tr>
      <w:tr w:rsidR="001B58C0" w:rsidRPr="00DE22FC" w14:paraId="2FFE2F86" w14:textId="77777777" w:rsidTr="003B2309">
        <w:tc>
          <w:tcPr>
            <w:tcW w:w="460" w:type="dxa"/>
          </w:tcPr>
          <w:p w14:paraId="2338FA20" w14:textId="77777777" w:rsidR="001B58C0" w:rsidRPr="00DE22FC" w:rsidRDefault="001B58C0" w:rsidP="00EA2958">
            <w:pPr>
              <w:rPr>
                <w:rFonts w:cstheme="minorHAnsi"/>
                <w:sz w:val="16"/>
                <w:szCs w:val="16"/>
              </w:rPr>
            </w:pPr>
            <w:r w:rsidRPr="00DE22FC">
              <w:rPr>
                <w:rFonts w:cstheme="minorHAnsi"/>
                <w:sz w:val="16"/>
                <w:szCs w:val="16"/>
              </w:rPr>
              <w:t>113</w:t>
            </w:r>
          </w:p>
        </w:tc>
        <w:tc>
          <w:tcPr>
            <w:tcW w:w="2431" w:type="dxa"/>
          </w:tcPr>
          <w:p w14:paraId="5BE0710E" w14:textId="77777777" w:rsidR="001B58C0" w:rsidRPr="00DE22FC" w:rsidRDefault="001B58C0" w:rsidP="00EA2958">
            <w:pPr>
              <w:rPr>
                <w:rFonts w:cstheme="minorHAnsi"/>
                <w:sz w:val="16"/>
                <w:szCs w:val="16"/>
              </w:rPr>
            </w:pPr>
            <w:r w:rsidRPr="00DE22FC">
              <w:rPr>
                <w:rFonts w:cstheme="minorHAnsi"/>
                <w:sz w:val="16"/>
                <w:szCs w:val="16"/>
              </w:rPr>
              <w:t>General</w:t>
            </w:r>
          </w:p>
        </w:tc>
        <w:tc>
          <w:tcPr>
            <w:tcW w:w="2908" w:type="dxa"/>
          </w:tcPr>
          <w:p w14:paraId="4C5E1CF6" w14:textId="77777777" w:rsidR="001B58C0" w:rsidRPr="00DE22FC" w:rsidRDefault="001B58C0" w:rsidP="00EA2958">
            <w:pPr>
              <w:rPr>
                <w:rFonts w:cstheme="minorHAnsi"/>
                <w:sz w:val="16"/>
                <w:szCs w:val="16"/>
              </w:rPr>
            </w:pPr>
            <w:r w:rsidRPr="00DE22FC">
              <w:rPr>
                <w:rFonts w:cstheme="minorHAnsi"/>
                <w:sz w:val="16"/>
                <w:szCs w:val="16"/>
              </w:rPr>
              <w:t>Change management</w:t>
            </w:r>
          </w:p>
        </w:tc>
        <w:tc>
          <w:tcPr>
            <w:tcW w:w="3268" w:type="dxa"/>
          </w:tcPr>
          <w:p w14:paraId="5189D6B1" w14:textId="02E22FCD" w:rsidR="001B58C0" w:rsidRPr="00DE22FC" w:rsidRDefault="002B48D0" w:rsidP="00EA2958">
            <w:pPr>
              <w:rPr>
                <w:rFonts w:cstheme="minorHAnsi"/>
                <w:sz w:val="16"/>
                <w:szCs w:val="16"/>
              </w:rPr>
            </w:pPr>
            <w:r>
              <w:rPr>
                <w:rFonts w:cstheme="minorHAnsi"/>
                <w:sz w:val="16"/>
                <w:szCs w:val="16"/>
              </w:rPr>
              <w:t>Hyperledger challenge: chaincode versioning &amp; upgrade. Same with data models.</w:t>
            </w:r>
          </w:p>
        </w:tc>
      </w:tr>
      <w:tr w:rsidR="003B6A55" w:rsidRPr="00DE22FC" w14:paraId="341117D4" w14:textId="77777777" w:rsidTr="003B2309">
        <w:tc>
          <w:tcPr>
            <w:tcW w:w="460" w:type="dxa"/>
          </w:tcPr>
          <w:p w14:paraId="47E04C07" w14:textId="17F9CCF9" w:rsidR="003B6A55" w:rsidRPr="00DE22FC" w:rsidRDefault="003B6A55" w:rsidP="00EA2958">
            <w:pPr>
              <w:rPr>
                <w:rFonts w:cstheme="minorHAnsi"/>
                <w:sz w:val="16"/>
                <w:szCs w:val="16"/>
              </w:rPr>
            </w:pPr>
            <w:r>
              <w:rPr>
                <w:rFonts w:cstheme="minorHAnsi"/>
                <w:sz w:val="16"/>
                <w:szCs w:val="16"/>
              </w:rPr>
              <w:t>114</w:t>
            </w:r>
          </w:p>
        </w:tc>
        <w:tc>
          <w:tcPr>
            <w:tcW w:w="2431" w:type="dxa"/>
          </w:tcPr>
          <w:p w14:paraId="02D17FEA" w14:textId="394D88D7" w:rsidR="003B6A55" w:rsidRPr="00DE22FC" w:rsidRDefault="003B6A55" w:rsidP="00EA2958">
            <w:pPr>
              <w:rPr>
                <w:rFonts w:cstheme="minorHAnsi"/>
                <w:sz w:val="16"/>
                <w:szCs w:val="16"/>
              </w:rPr>
            </w:pPr>
            <w:r>
              <w:rPr>
                <w:rFonts w:cstheme="minorHAnsi"/>
                <w:sz w:val="16"/>
                <w:szCs w:val="16"/>
              </w:rPr>
              <w:t>General</w:t>
            </w:r>
          </w:p>
        </w:tc>
        <w:tc>
          <w:tcPr>
            <w:tcW w:w="2908" w:type="dxa"/>
          </w:tcPr>
          <w:p w14:paraId="3A24DF8B" w14:textId="40F45A5F" w:rsidR="003B6A55" w:rsidRPr="00DE22FC" w:rsidRDefault="003B6A55" w:rsidP="00EA2958">
            <w:pPr>
              <w:rPr>
                <w:rFonts w:cstheme="minorHAnsi"/>
                <w:sz w:val="16"/>
                <w:szCs w:val="16"/>
              </w:rPr>
            </w:pPr>
            <w:r>
              <w:rPr>
                <w:rFonts w:cstheme="minorHAnsi"/>
                <w:sz w:val="16"/>
                <w:szCs w:val="16"/>
              </w:rPr>
              <w:t>Trusted time service</w:t>
            </w:r>
          </w:p>
        </w:tc>
        <w:tc>
          <w:tcPr>
            <w:tcW w:w="3268" w:type="dxa"/>
          </w:tcPr>
          <w:p w14:paraId="33A09F6E" w14:textId="77777777" w:rsidR="003B6A55" w:rsidRDefault="003B6A55" w:rsidP="00EA2958">
            <w:pPr>
              <w:rPr>
                <w:rFonts w:cstheme="minorHAnsi"/>
                <w:sz w:val="16"/>
                <w:szCs w:val="16"/>
              </w:rPr>
            </w:pPr>
          </w:p>
        </w:tc>
      </w:tr>
      <w:tr w:rsidR="003B6A55" w:rsidRPr="00DE22FC" w14:paraId="3412E49D" w14:textId="77777777" w:rsidTr="003B2309">
        <w:tc>
          <w:tcPr>
            <w:tcW w:w="460" w:type="dxa"/>
          </w:tcPr>
          <w:p w14:paraId="3DEDA0AC" w14:textId="4D670F3B" w:rsidR="003B6A55" w:rsidRDefault="003B6A55" w:rsidP="00EA2958">
            <w:pPr>
              <w:rPr>
                <w:rFonts w:cstheme="minorHAnsi"/>
                <w:sz w:val="16"/>
                <w:szCs w:val="16"/>
              </w:rPr>
            </w:pPr>
            <w:r>
              <w:rPr>
                <w:rFonts w:cstheme="minorHAnsi"/>
                <w:sz w:val="16"/>
                <w:szCs w:val="16"/>
              </w:rPr>
              <w:t>115</w:t>
            </w:r>
          </w:p>
        </w:tc>
        <w:tc>
          <w:tcPr>
            <w:tcW w:w="2431" w:type="dxa"/>
          </w:tcPr>
          <w:p w14:paraId="6039C019" w14:textId="209349B0" w:rsidR="003B6A55" w:rsidRDefault="003B6A55" w:rsidP="00EA2958">
            <w:pPr>
              <w:rPr>
                <w:rFonts w:cstheme="minorHAnsi"/>
                <w:sz w:val="16"/>
                <w:szCs w:val="16"/>
              </w:rPr>
            </w:pPr>
            <w:r>
              <w:rPr>
                <w:rFonts w:cstheme="minorHAnsi"/>
                <w:sz w:val="16"/>
                <w:szCs w:val="16"/>
              </w:rPr>
              <w:t>Legal</w:t>
            </w:r>
          </w:p>
        </w:tc>
        <w:tc>
          <w:tcPr>
            <w:tcW w:w="2908" w:type="dxa"/>
          </w:tcPr>
          <w:p w14:paraId="228B6237" w14:textId="4210CB92" w:rsidR="003B6A55" w:rsidRDefault="003B6A55" w:rsidP="00EA2958">
            <w:pPr>
              <w:rPr>
                <w:rFonts w:cstheme="minorHAnsi"/>
                <w:sz w:val="16"/>
                <w:szCs w:val="16"/>
              </w:rPr>
            </w:pPr>
            <w:r>
              <w:rPr>
                <w:rFonts w:cstheme="minorHAnsi"/>
                <w:sz w:val="16"/>
                <w:szCs w:val="16"/>
              </w:rPr>
              <w:t>Fiscal filings</w:t>
            </w:r>
          </w:p>
        </w:tc>
        <w:tc>
          <w:tcPr>
            <w:tcW w:w="3268" w:type="dxa"/>
          </w:tcPr>
          <w:p w14:paraId="5843975E" w14:textId="77777777" w:rsidR="003B6A55" w:rsidRDefault="003B6A55" w:rsidP="00EA2958">
            <w:pPr>
              <w:rPr>
                <w:rFonts w:cstheme="minorHAnsi"/>
                <w:sz w:val="16"/>
                <w:szCs w:val="16"/>
              </w:rPr>
            </w:pPr>
          </w:p>
        </w:tc>
      </w:tr>
      <w:tr w:rsidR="003B6A55" w:rsidRPr="00DE22FC" w14:paraId="52480D27" w14:textId="77777777" w:rsidTr="003B2309">
        <w:tc>
          <w:tcPr>
            <w:tcW w:w="460" w:type="dxa"/>
          </w:tcPr>
          <w:p w14:paraId="738CA466" w14:textId="477AAE61" w:rsidR="003B6A55" w:rsidRDefault="003B6A55" w:rsidP="00EA2958">
            <w:pPr>
              <w:rPr>
                <w:rFonts w:cstheme="minorHAnsi"/>
                <w:sz w:val="16"/>
                <w:szCs w:val="16"/>
              </w:rPr>
            </w:pPr>
            <w:r>
              <w:rPr>
                <w:rFonts w:cstheme="minorHAnsi"/>
                <w:sz w:val="16"/>
                <w:szCs w:val="16"/>
              </w:rPr>
              <w:t>116</w:t>
            </w:r>
          </w:p>
        </w:tc>
        <w:tc>
          <w:tcPr>
            <w:tcW w:w="2431" w:type="dxa"/>
          </w:tcPr>
          <w:p w14:paraId="758BDD07" w14:textId="10238CFE" w:rsidR="003B6A55" w:rsidRDefault="003B6A55" w:rsidP="00EA2958">
            <w:pPr>
              <w:rPr>
                <w:rFonts w:cstheme="minorHAnsi"/>
                <w:sz w:val="16"/>
                <w:szCs w:val="16"/>
              </w:rPr>
            </w:pPr>
            <w:r>
              <w:rPr>
                <w:rFonts w:cstheme="minorHAnsi"/>
                <w:sz w:val="16"/>
                <w:szCs w:val="16"/>
              </w:rPr>
              <w:t>Legal</w:t>
            </w:r>
          </w:p>
        </w:tc>
        <w:tc>
          <w:tcPr>
            <w:tcW w:w="2908" w:type="dxa"/>
          </w:tcPr>
          <w:p w14:paraId="11AB5F0A" w14:textId="1CD3B77C" w:rsidR="003B6A55" w:rsidRDefault="003B6A55" w:rsidP="00EA2958">
            <w:pPr>
              <w:rPr>
                <w:rFonts w:cstheme="minorHAnsi"/>
                <w:sz w:val="16"/>
                <w:szCs w:val="16"/>
              </w:rPr>
            </w:pPr>
            <w:r>
              <w:rPr>
                <w:rFonts w:cstheme="minorHAnsi"/>
                <w:sz w:val="16"/>
                <w:szCs w:val="16"/>
              </w:rPr>
              <w:t>Party agreement</w:t>
            </w:r>
          </w:p>
        </w:tc>
        <w:tc>
          <w:tcPr>
            <w:tcW w:w="3268" w:type="dxa"/>
          </w:tcPr>
          <w:p w14:paraId="7669C218" w14:textId="3F5F7972" w:rsidR="003B6A55" w:rsidRDefault="003B6A55" w:rsidP="00EA2958">
            <w:pPr>
              <w:rPr>
                <w:rFonts w:cstheme="minorHAnsi"/>
                <w:sz w:val="16"/>
                <w:szCs w:val="16"/>
              </w:rPr>
            </w:pPr>
            <w:r>
              <w:rPr>
                <w:rFonts w:cstheme="minorHAnsi"/>
                <w:sz w:val="16"/>
                <w:szCs w:val="16"/>
              </w:rPr>
              <w:t>Fund manager, custodian, etc.. are regulated roles. A workflow with the regulator ensures that participants received an agreement</w:t>
            </w:r>
          </w:p>
        </w:tc>
      </w:tr>
    </w:tbl>
    <w:p w14:paraId="37A35D99" w14:textId="77777777" w:rsidR="00F31CEC" w:rsidRPr="00F31CEC" w:rsidRDefault="00F31CEC" w:rsidP="00F31CEC">
      <w:pPr>
        <w:rPr>
          <w:sz w:val="18"/>
          <w:szCs w:val="18"/>
        </w:rPr>
      </w:pPr>
    </w:p>
    <w:p w14:paraId="114A7886" w14:textId="77777777" w:rsidR="00A74979" w:rsidRDefault="00A74979">
      <w:pPr>
        <w:rPr>
          <w:b/>
          <w:sz w:val="18"/>
          <w:szCs w:val="18"/>
        </w:rPr>
      </w:pPr>
      <w:r>
        <w:rPr>
          <w:b/>
          <w:sz w:val="18"/>
          <w:szCs w:val="18"/>
        </w:rPr>
        <w:br w:type="page"/>
      </w:r>
    </w:p>
    <w:p w14:paraId="70FE5A29" w14:textId="77777777" w:rsidR="00E30ED5" w:rsidRPr="00136EE2" w:rsidRDefault="00E30ED5" w:rsidP="00E30ED5">
      <w:pPr>
        <w:pBdr>
          <w:bottom w:val="single" w:sz="4" w:space="1" w:color="auto"/>
        </w:pBdr>
        <w:rPr>
          <w:b/>
          <w:sz w:val="18"/>
          <w:szCs w:val="18"/>
        </w:rPr>
      </w:pPr>
      <w:r>
        <w:rPr>
          <w:b/>
          <w:sz w:val="18"/>
          <w:szCs w:val="18"/>
        </w:rPr>
        <w:t>POCs for niche processes</w:t>
      </w:r>
    </w:p>
    <w:tbl>
      <w:tblPr>
        <w:tblStyle w:val="Grilledutableau"/>
        <w:tblW w:w="9067" w:type="dxa"/>
        <w:tblLook w:val="04A0" w:firstRow="1" w:lastRow="0" w:firstColumn="1" w:lastColumn="0" w:noHBand="0" w:noVBand="1"/>
      </w:tblPr>
      <w:tblGrid>
        <w:gridCol w:w="490"/>
        <w:gridCol w:w="2423"/>
        <w:gridCol w:w="2898"/>
        <w:gridCol w:w="3256"/>
      </w:tblGrid>
      <w:tr w:rsidR="00E30ED5" w:rsidRPr="00DE22FC" w14:paraId="314C11ED" w14:textId="77777777" w:rsidTr="00F31CEC">
        <w:tc>
          <w:tcPr>
            <w:tcW w:w="490" w:type="dxa"/>
          </w:tcPr>
          <w:p w14:paraId="68D5BA8C" w14:textId="77777777" w:rsidR="00E30ED5" w:rsidRPr="00DE22FC" w:rsidRDefault="00E30ED5" w:rsidP="00EA2958">
            <w:pPr>
              <w:rPr>
                <w:b/>
                <w:sz w:val="16"/>
                <w:szCs w:val="16"/>
              </w:rPr>
            </w:pPr>
            <w:r w:rsidRPr="00DE22FC">
              <w:rPr>
                <w:b/>
                <w:sz w:val="16"/>
                <w:szCs w:val="16"/>
              </w:rPr>
              <w:t>#</w:t>
            </w:r>
          </w:p>
        </w:tc>
        <w:tc>
          <w:tcPr>
            <w:tcW w:w="2423" w:type="dxa"/>
          </w:tcPr>
          <w:p w14:paraId="6A627D2D" w14:textId="77777777" w:rsidR="00E30ED5" w:rsidRPr="00DE22FC" w:rsidRDefault="00E30ED5" w:rsidP="00EA2958">
            <w:pPr>
              <w:rPr>
                <w:b/>
                <w:sz w:val="16"/>
                <w:szCs w:val="16"/>
              </w:rPr>
            </w:pPr>
            <w:r w:rsidRPr="00DE22FC">
              <w:rPr>
                <w:b/>
                <w:sz w:val="16"/>
                <w:szCs w:val="16"/>
              </w:rPr>
              <w:t>POC Theme</w:t>
            </w:r>
          </w:p>
        </w:tc>
        <w:tc>
          <w:tcPr>
            <w:tcW w:w="2898" w:type="dxa"/>
          </w:tcPr>
          <w:p w14:paraId="5F690BE6" w14:textId="77777777" w:rsidR="00E30ED5" w:rsidRPr="00DE22FC" w:rsidRDefault="00E30ED5" w:rsidP="00EA2958">
            <w:pPr>
              <w:rPr>
                <w:b/>
                <w:sz w:val="16"/>
                <w:szCs w:val="16"/>
              </w:rPr>
            </w:pPr>
            <w:r w:rsidRPr="00DE22FC">
              <w:rPr>
                <w:b/>
                <w:sz w:val="16"/>
                <w:szCs w:val="16"/>
              </w:rPr>
              <w:t>POC Name</w:t>
            </w:r>
          </w:p>
        </w:tc>
        <w:tc>
          <w:tcPr>
            <w:tcW w:w="3256" w:type="dxa"/>
          </w:tcPr>
          <w:p w14:paraId="5BFA6D9D" w14:textId="77777777" w:rsidR="00E30ED5" w:rsidRPr="00DE22FC" w:rsidRDefault="00E30ED5" w:rsidP="00EA2958">
            <w:pPr>
              <w:rPr>
                <w:b/>
                <w:sz w:val="16"/>
                <w:szCs w:val="16"/>
              </w:rPr>
            </w:pPr>
            <w:r w:rsidRPr="00DE22FC">
              <w:rPr>
                <w:b/>
                <w:sz w:val="16"/>
                <w:szCs w:val="16"/>
              </w:rPr>
              <w:t>POC broad objectives</w:t>
            </w:r>
          </w:p>
        </w:tc>
      </w:tr>
      <w:tr w:rsidR="00E30ED5" w:rsidRPr="00E30ED5" w14:paraId="4AACAE59" w14:textId="77777777" w:rsidTr="00F31CEC">
        <w:tc>
          <w:tcPr>
            <w:tcW w:w="490" w:type="dxa"/>
          </w:tcPr>
          <w:p w14:paraId="4E588E88" w14:textId="77777777" w:rsidR="00E30ED5" w:rsidRPr="00DE22FC" w:rsidRDefault="00A74979" w:rsidP="00EA2958">
            <w:pPr>
              <w:rPr>
                <w:sz w:val="16"/>
                <w:szCs w:val="16"/>
              </w:rPr>
            </w:pPr>
            <w:r w:rsidRPr="00DE22FC">
              <w:rPr>
                <w:sz w:val="16"/>
                <w:szCs w:val="16"/>
              </w:rPr>
              <w:t>20</w:t>
            </w:r>
            <w:r w:rsidR="00E30ED5" w:rsidRPr="00DE22FC">
              <w:rPr>
                <w:sz w:val="16"/>
                <w:szCs w:val="16"/>
              </w:rPr>
              <w:t>1</w:t>
            </w:r>
          </w:p>
        </w:tc>
        <w:tc>
          <w:tcPr>
            <w:tcW w:w="2423" w:type="dxa"/>
          </w:tcPr>
          <w:p w14:paraId="3660E4A7" w14:textId="77777777" w:rsidR="00E30ED5" w:rsidRPr="00DE22FC" w:rsidRDefault="00E30ED5" w:rsidP="00EA2958">
            <w:pPr>
              <w:rPr>
                <w:sz w:val="16"/>
                <w:szCs w:val="16"/>
              </w:rPr>
            </w:pPr>
            <w:r w:rsidRPr="00DE22FC">
              <w:rPr>
                <w:sz w:val="16"/>
                <w:szCs w:val="16"/>
              </w:rPr>
              <w:t>Investors Registry</w:t>
            </w:r>
          </w:p>
        </w:tc>
        <w:tc>
          <w:tcPr>
            <w:tcW w:w="2898" w:type="dxa"/>
          </w:tcPr>
          <w:p w14:paraId="3E30AE10" w14:textId="77777777" w:rsidR="00E30ED5" w:rsidRPr="00DE22FC" w:rsidRDefault="00E30ED5" w:rsidP="00EA2958">
            <w:pPr>
              <w:rPr>
                <w:sz w:val="16"/>
                <w:szCs w:val="16"/>
              </w:rPr>
            </w:pPr>
            <w:r w:rsidRPr="00DE22FC">
              <w:rPr>
                <w:sz w:val="16"/>
                <w:szCs w:val="16"/>
              </w:rPr>
              <w:t>French FCPE registry</w:t>
            </w:r>
          </w:p>
        </w:tc>
        <w:tc>
          <w:tcPr>
            <w:tcW w:w="3256" w:type="dxa"/>
          </w:tcPr>
          <w:p w14:paraId="6C927C05" w14:textId="6A3B6C7E" w:rsidR="00DE22FC" w:rsidRPr="00DE22FC" w:rsidRDefault="00F31CEC" w:rsidP="002B48D0">
            <w:pPr>
              <w:rPr>
                <w:sz w:val="16"/>
                <w:szCs w:val="16"/>
              </w:rPr>
            </w:pPr>
            <w:r w:rsidRPr="00DE22FC">
              <w:rPr>
                <w:sz w:val="16"/>
                <w:szCs w:val="16"/>
              </w:rPr>
              <w:t>Ability to onboard another registrar</w:t>
            </w:r>
            <w:r w:rsidR="002B48D0">
              <w:rPr>
                <w:sz w:val="16"/>
                <w:szCs w:val="16"/>
              </w:rPr>
              <w:t>. C</w:t>
            </w:r>
            <w:r w:rsidR="00DE22FC" w:rsidRPr="00DE22FC">
              <w:rPr>
                <w:sz w:val="16"/>
                <w:szCs w:val="16"/>
              </w:rPr>
              <w:t xml:space="preserve">losely linked to 103: </w:t>
            </w:r>
            <w:r w:rsidR="002B48D0">
              <w:rPr>
                <w:sz w:val="16"/>
                <w:szCs w:val="16"/>
              </w:rPr>
              <w:t xml:space="preserve">basically, this is </w:t>
            </w:r>
            <w:r w:rsidR="00DE22FC" w:rsidRPr="00DE22FC">
              <w:rPr>
                <w:sz w:val="16"/>
                <w:szCs w:val="16"/>
              </w:rPr>
              <w:t>just an application within a specifi</w:t>
            </w:r>
            <w:r w:rsidR="002B48D0">
              <w:rPr>
                <w:sz w:val="16"/>
                <w:szCs w:val="16"/>
              </w:rPr>
              <w:t xml:space="preserve">c regulatory framework. </w:t>
            </w:r>
            <w:r w:rsidR="00DE22FC" w:rsidRPr="00DE22FC">
              <w:rPr>
                <w:sz w:val="16"/>
                <w:szCs w:val="16"/>
              </w:rPr>
              <w:t>Fundamentally, FCPE is much like administering shares issued under a nominative form</w:t>
            </w:r>
            <w:r w:rsidR="002B48D0">
              <w:rPr>
                <w:sz w:val="16"/>
                <w:szCs w:val="16"/>
              </w:rPr>
              <w:t xml:space="preserve">. </w:t>
            </w:r>
            <w:r w:rsidR="00DE22FC" w:rsidRPr="00DE22FC">
              <w:rPr>
                <w:sz w:val="16"/>
                <w:szCs w:val="16"/>
              </w:rPr>
              <w:t>However, there are a number of specific issues, like employer</w:t>
            </w:r>
            <w:r w:rsidR="00DE22FC">
              <w:rPr>
                <w:sz w:val="16"/>
                <w:szCs w:val="16"/>
              </w:rPr>
              <w:t>’</w:t>
            </w:r>
            <w:r w:rsidR="00DE22FC" w:rsidRPr="00DE22FC">
              <w:rPr>
                <w:sz w:val="16"/>
                <w:szCs w:val="16"/>
              </w:rPr>
              <w:t>s over-subscripti</w:t>
            </w:r>
            <w:r w:rsidR="002B48D0">
              <w:rPr>
                <w:sz w:val="16"/>
                <w:szCs w:val="16"/>
              </w:rPr>
              <w:t>on on behalf of its employees.</w:t>
            </w:r>
          </w:p>
        </w:tc>
      </w:tr>
      <w:tr w:rsidR="00E30ED5" w:rsidRPr="00E30ED5" w14:paraId="5DFFDA0E" w14:textId="77777777" w:rsidTr="00F31CEC">
        <w:tc>
          <w:tcPr>
            <w:tcW w:w="490" w:type="dxa"/>
          </w:tcPr>
          <w:p w14:paraId="5DA960C6" w14:textId="77777777" w:rsidR="00E30ED5" w:rsidRPr="00DE22FC" w:rsidRDefault="00A74979" w:rsidP="00EA2958">
            <w:pPr>
              <w:rPr>
                <w:sz w:val="16"/>
                <w:szCs w:val="16"/>
              </w:rPr>
            </w:pPr>
            <w:r w:rsidRPr="00DE22FC">
              <w:rPr>
                <w:sz w:val="16"/>
                <w:szCs w:val="16"/>
              </w:rPr>
              <w:t>20</w:t>
            </w:r>
            <w:r w:rsidR="00E30ED5" w:rsidRPr="00DE22FC">
              <w:rPr>
                <w:sz w:val="16"/>
                <w:szCs w:val="16"/>
              </w:rPr>
              <w:t>2</w:t>
            </w:r>
          </w:p>
        </w:tc>
        <w:tc>
          <w:tcPr>
            <w:tcW w:w="2423" w:type="dxa"/>
          </w:tcPr>
          <w:p w14:paraId="45F280F8" w14:textId="77777777" w:rsidR="00E30ED5" w:rsidRPr="00DE22FC" w:rsidRDefault="00E30ED5" w:rsidP="00EA2958">
            <w:pPr>
              <w:rPr>
                <w:sz w:val="16"/>
                <w:szCs w:val="16"/>
              </w:rPr>
            </w:pPr>
            <w:r w:rsidRPr="00DE22FC">
              <w:rPr>
                <w:sz w:val="16"/>
                <w:szCs w:val="16"/>
              </w:rPr>
              <w:t>Investors Registry</w:t>
            </w:r>
          </w:p>
        </w:tc>
        <w:tc>
          <w:tcPr>
            <w:tcW w:w="2898" w:type="dxa"/>
          </w:tcPr>
          <w:p w14:paraId="034A794C" w14:textId="77777777" w:rsidR="00E30ED5" w:rsidRPr="00DE22FC" w:rsidRDefault="00E30ED5" w:rsidP="00EA2958">
            <w:pPr>
              <w:rPr>
                <w:sz w:val="16"/>
                <w:szCs w:val="16"/>
              </w:rPr>
            </w:pPr>
            <w:r w:rsidRPr="00DE22FC">
              <w:rPr>
                <w:sz w:val="16"/>
                <w:szCs w:val="16"/>
              </w:rPr>
              <w:t>Irish hedge funds, with series</w:t>
            </w:r>
          </w:p>
        </w:tc>
        <w:tc>
          <w:tcPr>
            <w:tcW w:w="3256" w:type="dxa"/>
          </w:tcPr>
          <w:p w14:paraId="5B1C0BDC" w14:textId="77777777" w:rsidR="00E30ED5" w:rsidRPr="00DE22FC" w:rsidRDefault="00A74979" w:rsidP="00EA2958">
            <w:pPr>
              <w:rPr>
                <w:sz w:val="16"/>
                <w:szCs w:val="16"/>
              </w:rPr>
            </w:pPr>
            <w:r w:rsidRPr="00DE22FC">
              <w:rPr>
                <w:sz w:val="16"/>
                <w:szCs w:val="16"/>
              </w:rPr>
              <w:t>Manage constraints for investment in fund’s series.</w:t>
            </w:r>
          </w:p>
        </w:tc>
      </w:tr>
      <w:tr w:rsidR="00E30ED5" w:rsidRPr="00E30ED5" w14:paraId="2C76FC16" w14:textId="77777777" w:rsidTr="00F31CEC">
        <w:tc>
          <w:tcPr>
            <w:tcW w:w="490" w:type="dxa"/>
          </w:tcPr>
          <w:p w14:paraId="3B5D217B" w14:textId="77777777" w:rsidR="00E30ED5" w:rsidRPr="00DE22FC" w:rsidRDefault="00A74979" w:rsidP="00EA2958">
            <w:pPr>
              <w:rPr>
                <w:sz w:val="16"/>
                <w:szCs w:val="16"/>
              </w:rPr>
            </w:pPr>
            <w:r w:rsidRPr="00DE22FC">
              <w:rPr>
                <w:sz w:val="16"/>
                <w:szCs w:val="16"/>
              </w:rPr>
              <w:t>20</w:t>
            </w:r>
            <w:r w:rsidR="00E30ED5" w:rsidRPr="00DE22FC">
              <w:rPr>
                <w:sz w:val="16"/>
                <w:szCs w:val="16"/>
              </w:rPr>
              <w:t>3</w:t>
            </w:r>
          </w:p>
        </w:tc>
        <w:tc>
          <w:tcPr>
            <w:tcW w:w="2423" w:type="dxa"/>
          </w:tcPr>
          <w:p w14:paraId="7EDA2FB7" w14:textId="77777777" w:rsidR="00E30ED5" w:rsidRPr="00DE22FC" w:rsidRDefault="00E30ED5" w:rsidP="00EA2958">
            <w:pPr>
              <w:rPr>
                <w:sz w:val="16"/>
                <w:szCs w:val="16"/>
              </w:rPr>
            </w:pPr>
            <w:r w:rsidRPr="00DE22FC">
              <w:rPr>
                <w:sz w:val="16"/>
                <w:szCs w:val="16"/>
              </w:rPr>
              <w:t>Investors Registry</w:t>
            </w:r>
          </w:p>
        </w:tc>
        <w:tc>
          <w:tcPr>
            <w:tcW w:w="2898" w:type="dxa"/>
          </w:tcPr>
          <w:p w14:paraId="13657CFD" w14:textId="77777777" w:rsidR="00E30ED5" w:rsidRPr="00DE22FC" w:rsidRDefault="00E30ED5" w:rsidP="00EA2958">
            <w:pPr>
              <w:rPr>
                <w:sz w:val="16"/>
                <w:szCs w:val="16"/>
              </w:rPr>
            </w:pPr>
            <w:r w:rsidRPr="00DE22FC">
              <w:rPr>
                <w:sz w:val="16"/>
                <w:szCs w:val="16"/>
              </w:rPr>
              <w:t xml:space="preserve">Registry of Insurance Life Contracts </w:t>
            </w:r>
          </w:p>
        </w:tc>
        <w:tc>
          <w:tcPr>
            <w:tcW w:w="3256" w:type="dxa"/>
          </w:tcPr>
          <w:p w14:paraId="3778B2FA" w14:textId="77777777" w:rsidR="00E30ED5" w:rsidRPr="00DE22FC" w:rsidRDefault="00A74979" w:rsidP="00EA2958">
            <w:pPr>
              <w:rPr>
                <w:sz w:val="16"/>
                <w:szCs w:val="16"/>
              </w:rPr>
            </w:pPr>
            <w:r w:rsidRPr="00DE22FC">
              <w:rPr>
                <w:sz w:val="16"/>
                <w:szCs w:val="16"/>
              </w:rPr>
              <w:t>Investors registry, on the insurer’s side</w:t>
            </w:r>
          </w:p>
        </w:tc>
      </w:tr>
      <w:tr w:rsidR="00F31CEC" w:rsidRPr="00E30ED5" w14:paraId="0F0B16D6" w14:textId="77777777" w:rsidTr="00F31CEC">
        <w:tc>
          <w:tcPr>
            <w:tcW w:w="490" w:type="dxa"/>
          </w:tcPr>
          <w:p w14:paraId="6BB1949B" w14:textId="77777777" w:rsidR="00F31CEC" w:rsidRPr="00DE22FC" w:rsidRDefault="00A74979" w:rsidP="00EA2958">
            <w:pPr>
              <w:rPr>
                <w:sz w:val="16"/>
                <w:szCs w:val="16"/>
              </w:rPr>
            </w:pPr>
            <w:r w:rsidRPr="00DE22FC">
              <w:rPr>
                <w:sz w:val="16"/>
                <w:szCs w:val="16"/>
              </w:rPr>
              <w:t>20</w:t>
            </w:r>
            <w:r w:rsidR="00F31CEC" w:rsidRPr="00DE22FC">
              <w:rPr>
                <w:sz w:val="16"/>
                <w:szCs w:val="16"/>
              </w:rPr>
              <w:t>4</w:t>
            </w:r>
          </w:p>
        </w:tc>
        <w:tc>
          <w:tcPr>
            <w:tcW w:w="2423" w:type="dxa"/>
          </w:tcPr>
          <w:p w14:paraId="169EFC7E" w14:textId="77777777" w:rsidR="00F31CEC" w:rsidRPr="00DE22FC" w:rsidRDefault="00F31CEC" w:rsidP="00EA2958">
            <w:pPr>
              <w:rPr>
                <w:sz w:val="16"/>
                <w:szCs w:val="16"/>
              </w:rPr>
            </w:pPr>
            <w:r w:rsidRPr="00DE22FC">
              <w:rPr>
                <w:sz w:val="16"/>
                <w:szCs w:val="16"/>
              </w:rPr>
              <w:t>Investor Registry</w:t>
            </w:r>
          </w:p>
        </w:tc>
        <w:tc>
          <w:tcPr>
            <w:tcW w:w="2898" w:type="dxa"/>
          </w:tcPr>
          <w:p w14:paraId="6C491CC0" w14:textId="099CAB6E" w:rsidR="00F31CEC" w:rsidRPr="00DE22FC" w:rsidRDefault="00F31CEC" w:rsidP="00EA2958">
            <w:pPr>
              <w:rPr>
                <w:sz w:val="16"/>
                <w:szCs w:val="16"/>
              </w:rPr>
            </w:pPr>
            <w:r w:rsidRPr="00DE22FC">
              <w:rPr>
                <w:sz w:val="16"/>
                <w:szCs w:val="16"/>
              </w:rPr>
              <w:t>Pledged subscriptions: case of infrastructure or real estate funds</w:t>
            </w:r>
          </w:p>
        </w:tc>
        <w:tc>
          <w:tcPr>
            <w:tcW w:w="3256" w:type="dxa"/>
          </w:tcPr>
          <w:p w14:paraId="4BE0EDAE" w14:textId="77777777" w:rsidR="00F31CEC" w:rsidRPr="00DE22FC" w:rsidRDefault="00F31CEC" w:rsidP="00EA2958">
            <w:pPr>
              <w:rPr>
                <w:sz w:val="16"/>
                <w:szCs w:val="16"/>
              </w:rPr>
            </w:pPr>
            <w:r w:rsidRPr="00DE22FC">
              <w:rPr>
                <w:sz w:val="16"/>
                <w:szCs w:val="16"/>
              </w:rPr>
              <w:t>Abi</w:t>
            </w:r>
            <w:r w:rsidR="00A74979" w:rsidRPr="00DE22FC">
              <w:rPr>
                <w:sz w:val="16"/>
                <w:szCs w:val="16"/>
              </w:rPr>
              <w:t>lity to manage orders as pledges</w:t>
            </w:r>
            <w:r w:rsidRPr="00DE22FC">
              <w:rPr>
                <w:sz w:val="16"/>
                <w:szCs w:val="16"/>
              </w:rPr>
              <w:t>, with actual payment upon issuer’s calling</w:t>
            </w:r>
          </w:p>
        </w:tc>
      </w:tr>
      <w:tr w:rsidR="00E30ED5" w:rsidRPr="00E30ED5" w14:paraId="2652A616" w14:textId="77777777" w:rsidTr="00F31CEC">
        <w:tc>
          <w:tcPr>
            <w:tcW w:w="490" w:type="dxa"/>
          </w:tcPr>
          <w:p w14:paraId="3777D56D" w14:textId="77777777" w:rsidR="00E30ED5" w:rsidRPr="00DE22FC" w:rsidRDefault="00A74979" w:rsidP="00EA2958">
            <w:pPr>
              <w:rPr>
                <w:sz w:val="16"/>
                <w:szCs w:val="16"/>
              </w:rPr>
            </w:pPr>
            <w:r w:rsidRPr="00DE22FC">
              <w:rPr>
                <w:sz w:val="16"/>
                <w:szCs w:val="16"/>
              </w:rPr>
              <w:t>205</w:t>
            </w:r>
          </w:p>
        </w:tc>
        <w:tc>
          <w:tcPr>
            <w:tcW w:w="2423" w:type="dxa"/>
          </w:tcPr>
          <w:p w14:paraId="0B438D98" w14:textId="77777777" w:rsidR="00E30ED5" w:rsidRPr="00DE22FC" w:rsidRDefault="00E30ED5" w:rsidP="00EA2958">
            <w:pPr>
              <w:rPr>
                <w:sz w:val="16"/>
                <w:szCs w:val="16"/>
              </w:rPr>
            </w:pPr>
            <w:r w:rsidRPr="00DE22FC">
              <w:rPr>
                <w:sz w:val="16"/>
                <w:szCs w:val="16"/>
              </w:rPr>
              <w:t>Product Master</w:t>
            </w:r>
          </w:p>
        </w:tc>
        <w:tc>
          <w:tcPr>
            <w:tcW w:w="2898" w:type="dxa"/>
          </w:tcPr>
          <w:p w14:paraId="399BAF46" w14:textId="77777777" w:rsidR="00E30ED5" w:rsidRPr="00DE22FC" w:rsidRDefault="00A74979" w:rsidP="00EA2958">
            <w:pPr>
              <w:rPr>
                <w:sz w:val="16"/>
                <w:szCs w:val="16"/>
              </w:rPr>
            </w:pPr>
            <w:r w:rsidRPr="00DE22FC">
              <w:rPr>
                <w:sz w:val="16"/>
                <w:szCs w:val="16"/>
              </w:rPr>
              <w:t xml:space="preserve">Close-ended funds, </w:t>
            </w:r>
            <w:r w:rsidR="00E30ED5" w:rsidRPr="00DE22FC">
              <w:rPr>
                <w:sz w:val="16"/>
                <w:szCs w:val="16"/>
              </w:rPr>
              <w:t>Mandates</w:t>
            </w:r>
            <w:r w:rsidRPr="00DE22FC">
              <w:rPr>
                <w:sz w:val="16"/>
                <w:szCs w:val="16"/>
              </w:rPr>
              <w:t xml:space="preserve"> &amp; managed accounts</w:t>
            </w:r>
          </w:p>
        </w:tc>
        <w:tc>
          <w:tcPr>
            <w:tcW w:w="3256" w:type="dxa"/>
          </w:tcPr>
          <w:p w14:paraId="249FECF8" w14:textId="77777777" w:rsidR="00E30ED5" w:rsidRPr="00DE22FC" w:rsidRDefault="00F31CEC" w:rsidP="00EA2958">
            <w:pPr>
              <w:rPr>
                <w:sz w:val="16"/>
                <w:szCs w:val="16"/>
              </w:rPr>
            </w:pPr>
            <w:r w:rsidRPr="00DE22FC">
              <w:rPr>
                <w:sz w:val="16"/>
                <w:szCs w:val="16"/>
              </w:rPr>
              <w:t xml:space="preserve">Ability to manage </w:t>
            </w:r>
            <w:r w:rsidR="00A74979" w:rsidRPr="00DE22FC">
              <w:rPr>
                <w:sz w:val="16"/>
                <w:szCs w:val="16"/>
              </w:rPr>
              <w:t xml:space="preserve">private information on product and to handle </w:t>
            </w:r>
            <w:r w:rsidRPr="00DE22FC">
              <w:rPr>
                <w:sz w:val="16"/>
                <w:szCs w:val="16"/>
              </w:rPr>
              <w:t>complex structures (e.g. insurance mandates)</w:t>
            </w:r>
          </w:p>
        </w:tc>
      </w:tr>
      <w:tr w:rsidR="00F31CEC" w:rsidRPr="00E30ED5" w14:paraId="2E8CFE8C" w14:textId="77777777" w:rsidTr="00F31CEC">
        <w:tc>
          <w:tcPr>
            <w:tcW w:w="490" w:type="dxa"/>
          </w:tcPr>
          <w:p w14:paraId="4BBA521D" w14:textId="77777777" w:rsidR="00F31CEC" w:rsidRPr="00DE22FC" w:rsidRDefault="00A74979" w:rsidP="00EA2958">
            <w:pPr>
              <w:rPr>
                <w:sz w:val="16"/>
                <w:szCs w:val="16"/>
              </w:rPr>
            </w:pPr>
            <w:r w:rsidRPr="00DE22FC">
              <w:rPr>
                <w:sz w:val="16"/>
                <w:szCs w:val="16"/>
              </w:rPr>
              <w:t>206</w:t>
            </w:r>
          </w:p>
        </w:tc>
        <w:tc>
          <w:tcPr>
            <w:tcW w:w="2423" w:type="dxa"/>
          </w:tcPr>
          <w:p w14:paraId="45ECFE3F" w14:textId="77777777" w:rsidR="00F31CEC" w:rsidRPr="00DE22FC" w:rsidRDefault="00A74979" w:rsidP="00EA2958">
            <w:pPr>
              <w:rPr>
                <w:sz w:val="16"/>
                <w:szCs w:val="16"/>
              </w:rPr>
            </w:pPr>
            <w:r w:rsidRPr="00DE22FC">
              <w:rPr>
                <w:sz w:val="16"/>
                <w:szCs w:val="16"/>
              </w:rPr>
              <w:t>Investors Registry</w:t>
            </w:r>
          </w:p>
        </w:tc>
        <w:tc>
          <w:tcPr>
            <w:tcW w:w="2898" w:type="dxa"/>
          </w:tcPr>
          <w:p w14:paraId="2FE29D51" w14:textId="77777777" w:rsidR="00F31CEC" w:rsidRPr="00DE22FC" w:rsidRDefault="00A74979" w:rsidP="00EA2958">
            <w:pPr>
              <w:rPr>
                <w:sz w:val="16"/>
                <w:szCs w:val="16"/>
              </w:rPr>
            </w:pPr>
            <w:r w:rsidRPr="00DE22FC">
              <w:rPr>
                <w:sz w:val="16"/>
                <w:szCs w:val="16"/>
              </w:rPr>
              <w:t>US hedge funds, with equalization factor</w:t>
            </w:r>
          </w:p>
        </w:tc>
        <w:tc>
          <w:tcPr>
            <w:tcW w:w="3256" w:type="dxa"/>
          </w:tcPr>
          <w:p w14:paraId="23B9EB84" w14:textId="77777777" w:rsidR="00F31CEC" w:rsidRPr="00DE22FC" w:rsidRDefault="00A74979" w:rsidP="00EA2958">
            <w:pPr>
              <w:rPr>
                <w:sz w:val="16"/>
                <w:szCs w:val="16"/>
              </w:rPr>
            </w:pPr>
            <w:r w:rsidRPr="00DE22FC">
              <w:rPr>
                <w:sz w:val="16"/>
                <w:szCs w:val="16"/>
              </w:rPr>
              <w:t>Ability to convert amounts in units using an equalization factor rather than a NAV</w:t>
            </w:r>
          </w:p>
        </w:tc>
      </w:tr>
      <w:tr w:rsidR="00A74979" w:rsidRPr="00E30ED5" w14:paraId="09BF57A4" w14:textId="77777777" w:rsidTr="00F31CEC">
        <w:tc>
          <w:tcPr>
            <w:tcW w:w="490" w:type="dxa"/>
          </w:tcPr>
          <w:p w14:paraId="720E014C" w14:textId="77777777" w:rsidR="00A74979" w:rsidRPr="00DE22FC" w:rsidRDefault="00823AFE" w:rsidP="00EA2958">
            <w:pPr>
              <w:rPr>
                <w:sz w:val="16"/>
                <w:szCs w:val="16"/>
              </w:rPr>
            </w:pPr>
            <w:r w:rsidRPr="00DE22FC">
              <w:rPr>
                <w:sz w:val="16"/>
                <w:szCs w:val="16"/>
              </w:rPr>
              <w:t>207</w:t>
            </w:r>
          </w:p>
        </w:tc>
        <w:tc>
          <w:tcPr>
            <w:tcW w:w="2423" w:type="dxa"/>
          </w:tcPr>
          <w:p w14:paraId="1E54A28B" w14:textId="65183563" w:rsidR="00A74979" w:rsidRPr="00DE22FC" w:rsidRDefault="00DE22FC" w:rsidP="00EA2958">
            <w:pPr>
              <w:rPr>
                <w:sz w:val="16"/>
                <w:szCs w:val="16"/>
              </w:rPr>
            </w:pPr>
            <w:r w:rsidRPr="00DE22FC">
              <w:rPr>
                <w:sz w:val="16"/>
                <w:szCs w:val="16"/>
              </w:rPr>
              <w:t>Investors Registry</w:t>
            </w:r>
          </w:p>
        </w:tc>
        <w:tc>
          <w:tcPr>
            <w:tcW w:w="2898" w:type="dxa"/>
          </w:tcPr>
          <w:p w14:paraId="2FEC718F" w14:textId="43A094CE" w:rsidR="00A74979" w:rsidRPr="00DE22FC" w:rsidRDefault="00DE22FC" w:rsidP="00EA2958">
            <w:pPr>
              <w:rPr>
                <w:sz w:val="16"/>
                <w:szCs w:val="16"/>
              </w:rPr>
            </w:pPr>
            <w:r w:rsidRPr="00DE22FC">
              <w:rPr>
                <w:sz w:val="16"/>
                <w:szCs w:val="16"/>
              </w:rPr>
              <w:t>Formula-linked funds</w:t>
            </w:r>
          </w:p>
        </w:tc>
        <w:tc>
          <w:tcPr>
            <w:tcW w:w="3256" w:type="dxa"/>
          </w:tcPr>
          <w:p w14:paraId="1CCD443B" w14:textId="46EF032E" w:rsidR="00A74979" w:rsidRPr="00DE22FC" w:rsidRDefault="00DE22FC" w:rsidP="00EA2958">
            <w:pPr>
              <w:rPr>
                <w:sz w:val="16"/>
                <w:szCs w:val="16"/>
              </w:rPr>
            </w:pPr>
            <w:r w:rsidRPr="00DE22FC">
              <w:rPr>
                <w:sz w:val="16"/>
                <w:szCs w:val="16"/>
              </w:rPr>
              <w:t>Funds with predefined subscription periods</w:t>
            </w:r>
          </w:p>
        </w:tc>
      </w:tr>
    </w:tbl>
    <w:p w14:paraId="53E71078" w14:textId="77777777" w:rsidR="00E30ED5" w:rsidRDefault="00E30ED5"/>
    <w:p w14:paraId="626F9DA3" w14:textId="77777777" w:rsidR="00823AFE" w:rsidRDefault="00823AFE">
      <w:pPr>
        <w:rPr>
          <w:b/>
          <w:sz w:val="18"/>
          <w:szCs w:val="18"/>
        </w:rPr>
      </w:pPr>
      <w:r>
        <w:rPr>
          <w:b/>
          <w:sz w:val="18"/>
          <w:szCs w:val="18"/>
        </w:rPr>
        <w:br w:type="page"/>
      </w:r>
    </w:p>
    <w:p w14:paraId="6EFF7272" w14:textId="77777777" w:rsidR="009D6C36" w:rsidRPr="00136EE2" w:rsidRDefault="009D6C36" w:rsidP="009D6C36">
      <w:pPr>
        <w:pBdr>
          <w:bottom w:val="single" w:sz="4" w:space="1" w:color="auto"/>
        </w:pBdr>
        <w:rPr>
          <w:b/>
          <w:sz w:val="18"/>
          <w:szCs w:val="18"/>
        </w:rPr>
      </w:pPr>
      <w:r>
        <w:rPr>
          <w:b/>
          <w:sz w:val="18"/>
          <w:szCs w:val="18"/>
        </w:rPr>
        <w:t>POCs situation along the Fund Management Value Chain</w:t>
      </w:r>
    </w:p>
    <w:p w14:paraId="58D65F65" w14:textId="77777777" w:rsidR="00E30ED5" w:rsidRDefault="00823AFE" w:rsidP="00823AFE">
      <w:pPr>
        <w:jc w:val="center"/>
      </w:pPr>
      <w:r>
        <w:object w:dxaOrig="5690" w:dyaOrig="13835" w14:anchorId="05156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05pt;height:627.05pt" o:ole="">
            <v:imagedata r:id="rId7" o:title=""/>
          </v:shape>
          <o:OLEObject Type="Embed" ProgID="Visio.Drawing.15" ShapeID="_x0000_i1025" DrawAspect="Content" ObjectID="_1551113045" r:id="rId8"/>
        </w:object>
      </w:r>
    </w:p>
    <w:p w14:paraId="331699C2" w14:textId="77777777" w:rsidR="00A74979" w:rsidRDefault="00A74979"/>
    <w:sectPr w:rsidR="00A7497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98258" w14:textId="77777777" w:rsidR="00C10FDE" w:rsidRDefault="00C10FDE" w:rsidP="00E010D0">
      <w:pPr>
        <w:spacing w:after="0" w:line="240" w:lineRule="auto"/>
      </w:pPr>
      <w:r>
        <w:separator/>
      </w:r>
    </w:p>
  </w:endnote>
  <w:endnote w:type="continuationSeparator" w:id="0">
    <w:p w14:paraId="5E723837" w14:textId="77777777" w:rsidR="00C10FDE" w:rsidRDefault="00C10FDE" w:rsidP="00E0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Calibr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E1885" w14:textId="77777777" w:rsidR="00EA2958" w:rsidRDefault="00EA2958">
    <w:pPr>
      <w:pStyle w:val="Pieddepage"/>
    </w:pPr>
    <w:r w:rsidRPr="004D3AAB">
      <w:rPr>
        <w:i/>
        <w:sz w:val="18"/>
        <w:szCs w:val="18"/>
      </w:rPr>
      <w:t>TheFundsChain</w:t>
    </w:r>
    <w:r w:rsidRPr="004D3AAB">
      <w:rPr>
        <w:sz w:val="18"/>
        <w:szCs w:val="18"/>
      </w:rPr>
      <w:t xml:space="preserve"> - Copyright </w:t>
    </w:r>
    <w:r>
      <w:rPr>
        <w:sz w:val="18"/>
        <w:szCs w:val="18"/>
      </w:rPr>
      <w:t xml:space="preserve">Advisam &amp; Tenor Finance - 2016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D824E" w14:textId="77777777" w:rsidR="00C10FDE" w:rsidRDefault="00C10FDE" w:rsidP="00E010D0">
      <w:pPr>
        <w:spacing w:after="0" w:line="240" w:lineRule="auto"/>
      </w:pPr>
      <w:r>
        <w:separator/>
      </w:r>
    </w:p>
  </w:footnote>
  <w:footnote w:type="continuationSeparator" w:id="0">
    <w:p w14:paraId="72E5A807" w14:textId="77777777" w:rsidR="00C10FDE" w:rsidRDefault="00C10FDE" w:rsidP="00E0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6F294" w14:textId="77777777" w:rsidR="00EA2958" w:rsidRDefault="00EA2958" w:rsidP="00E010D0">
    <w:pPr>
      <w:pStyle w:val="En-tte"/>
    </w:pPr>
    <w:r>
      <w:rPr>
        <w:noProof/>
        <w:lang w:val="fr-FR" w:eastAsia="fr-FR"/>
      </w:rPr>
      <w:drawing>
        <wp:anchor distT="0" distB="0" distL="114300" distR="114300" simplePos="0" relativeHeight="251659264" behindDoc="0" locked="0" layoutInCell="1" allowOverlap="1" wp14:anchorId="5BEC38FD" wp14:editId="10532E8F">
          <wp:simplePos x="0" y="0"/>
          <wp:positionH relativeFrom="column">
            <wp:posOffset>5543550</wp:posOffset>
          </wp:positionH>
          <wp:positionV relativeFrom="paragraph">
            <wp:posOffset>-287020</wp:posOffset>
          </wp:positionV>
          <wp:extent cx="809625" cy="604999"/>
          <wp:effectExtent l="0" t="0" r="0" b="5080"/>
          <wp:wrapNone/>
          <wp:docPr id="6" name="Image 6" descr="C:\Users\root\AppData\Local\Microsoft\Windows\INetCacheContent.Word\fc314c_62f6c38ff5064bab95b486882a3045cb-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oot\AppData\Local\Microsoft\Windows\INetCacheContent.Word\fc314c_62f6c38ff5064bab95b486882a3045cb-m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04999"/>
                  </a:xfrm>
                  <a:prstGeom prst="rect">
                    <a:avLst/>
                  </a:prstGeom>
                  <a:noFill/>
                  <a:ln>
                    <a:noFill/>
                  </a:ln>
                </pic:spPr>
              </pic:pic>
            </a:graphicData>
          </a:graphic>
          <wp14:sizeRelH relativeFrom="margin">
            <wp14:pctWidth>0</wp14:pctWidth>
          </wp14:sizeRelH>
          <wp14:sizeRelV relativeFrom="margin">
            <wp14:pctHeight>0</wp14:pctHeight>
          </wp14:sizeRelV>
        </wp:anchor>
      </w:drawing>
    </w:r>
    <w:r>
      <w:t>DLT for the Asset Management Industry – Detailed POC requirements series</w:t>
    </w:r>
  </w:p>
  <w:p w14:paraId="0674E133" w14:textId="77777777" w:rsidR="00EA2958" w:rsidRDefault="00EA295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769E"/>
    <w:multiLevelType w:val="hybridMultilevel"/>
    <w:tmpl w:val="1E38BC14"/>
    <w:lvl w:ilvl="0" w:tplc="4392887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BD3273"/>
    <w:multiLevelType w:val="hybridMultilevel"/>
    <w:tmpl w:val="D39EE36E"/>
    <w:lvl w:ilvl="0" w:tplc="1AD480E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D13248"/>
    <w:multiLevelType w:val="hybridMultilevel"/>
    <w:tmpl w:val="6C94E0D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1C269DC"/>
    <w:multiLevelType w:val="hybridMultilevel"/>
    <w:tmpl w:val="123CCB1A"/>
    <w:lvl w:ilvl="0" w:tplc="BB68162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A05DCA"/>
    <w:multiLevelType w:val="hybridMultilevel"/>
    <w:tmpl w:val="30EAD33C"/>
    <w:lvl w:ilvl="0" w:tplc="51407D0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F31D67"/>
    <w:multiLevelType w:val="hybridMultilevel"/>
    <w:tmpl w:val="EBFA7026"/>
    <w:lvl w:ilvl="0" w:tplc="73B8EF1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D4632A"/>
    <w:multiLevelType w:val="hybridMultilevel"/>
    <w:tmpl w:val="E4227880"/>
    <w:lvl w:ilvl="0" w:tplc="0CD4820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8BF3CE2"/>
    <w:multiLevelType w:val="hybridMultilevel"/>
    <w:tmpl w:val="F99EE95E"/>
    <w:lvl w:ilvl="0" w:tplc="FEB29A9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formatting="1" w:enforcement="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A8"/>
    <w:rsid w:val="00032003"/>
    <w:rsid w:val="00032DB5"/>
    <w:rsid w:val="000623A0"/>
    <w:rsid w:val="00072CCD"/>
    <w:rsid w:val="00075144"/>
    <w:rsid w:val="00102378"/>
    <w:rsid w:val="00166D59"/>
    <w:rsid w:val="00180D8E"/>
    <w:rsid w:val="00197BD0"/>
    <w:rsid w:val="001B58C0"/>
    <w:rsid w:val="001E0B24"/>
    <w:rsid w:val="002B48D0"/>
    <w:rsid w:val="003B2309"/>
    <w:rsid w:val="003B6A55"/>
    <w:rsid w:val="00436850"/>
    <w:rsid w:val="004E4B2E"/>
    <w:rsid w:val="004F566D"/>
    <w:rsid w:val="00563B9A"/>
    <w:rsid w:val="005A5807"/>
    <w:rsid w:val="005C5793"/>
    <w:rsid w:val="005E7F18"/>
    <w:rsid w:val="00652D56"/>
    <w:rsid w:val="006D34FA"/>
    <w:rsid w:val="006F3CA8"/>
    <w:rsid w:val="0075594B"/>
    <w:rsid w:val="0076114A"/>
    <w:rsid w:val="00823AFE"/>
    <w:rsid w:val="008713F4"/>
    <w:rsid w:val="008D6253"/>
    <w:rsid w:val="00902870"/>
    <w:rsid w:val="00964814"/>
    <w:rsid w:val="00996E10"/>
    <w:rsid w:val="009D6C36"/>
    <w:rsid w:val="00A0148B"/>
    <w:rsid w:val="00A161AA"/>
    <w:rsid w:val="00A26B7E"/>
    <w:rsid w:val="00A361C1"/>
    <w:rsid w:val="00A36D16"/>
    <w:rsid w:val="00A43214"/>
    <w:rsid w:val="00A5778D"/>
    <w:rsid w:val="00A747A8"/>
    <w:rsid w:val="00A74979"/>
    <w:rsid w:val="00AA7CE5"/>
    <w:rsid w:val="00B0794A"/>
    <w:rsid w:val="00BE0951"/>
    <w:rsid w:val="00BF4166"/>
    <w:rsid w:val="00C10FDE"/>
    <w:rsid w:val="00C2076D"/>
    <w:rsid w:val="00C900FE"/>
    <w:rsid w:val="00CA6B0C"/>
    <w:rsid w:val="00CB4633"/>
    <w:rsid w:val="00CB5056"/>
    <w:rsid w:val="00CE6AF1"/>
    <w:rsid w:val="00D11874"/>
    <w:rsid w:val="00D849EC"/>
    <w:rsid w:val="00DE1325"/>
    <w:rsid w:val="00DE22FC"/>
    <w:rsid w:val="00E010D0"/>
    <w:rsid w:val="00E30ED5"/>
    <w:rsid w:val="00E33DFE"/>
    <w:rsid w:val="00E35D62"/>
    <w:rsid w:val="00EA2958"/>
    <w:rsid w:val="00F06A0D"/>
    <w:rsid w:val="00F23134"/>
    <w:rsid w:val="00F31CEC"/>
    <w:rsid w:val="00F50E17"/>
    <w:rsid w:val="00FD779C"/>
    <w:rsid w:val="00FF6E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BE92F"/>
  <w15:docId w15:val="{A54991B7-AD56-4FB2-B710-2310A01D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10D0"/>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10D0"/>
    <w:pPr>
      <w:tabs>
        <w:tab w:val="center" w:pos="4536"/>
        <w:tab w:val="right" w:pos="9072"/>
      </w:tabs>
      <w:spacing w:after="0" w:line="240" w:lineRule="auto"/>
    </w:pPr>
  </w:style>
  <w:style w:type="character" w:customStyle="1" w:styleId="En-tteCar">
    <w:name w:val="En-tête Car"/>
    <w:basedOn w:val="Policepardfaut"/>
    <w:link w:val="En-tte"/>
    <w:uiPriority w:val="99"/>
    <w:rsid w:val="00E010D0"/>
    <w:rPr>
      <w:lang w:val="en-US"/>
    </w:rPr>
  </w:style>
  <w:style w:type="paragraph" w:styleId="Pieddepage">
    <w:name w:val="footer"/>
    <w:basedOn w:val="Normal"/>
    <w:link w:val="PieddepageCar"/>
    <w:uiPriority w:val="99"/>
    <w:unhideWhenUsed/>
    <w:rsid w:val="00E010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0D0"/>
    <w:rPr>
      <w:lang w:val="en-US"/>
    </w:rPr>
  </w:style>
  <w:style w:type="table" w:styleId="Grilledutableau">
    <w:name w:val="Table Grid"/>
    <w:basedOn w:val="TableauNormal"/>
    <w:uiPriority w:val="39"/>
    <w:rsid w:val="00E0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A161AA"/>
    <w:rPr>
      <w:sz w:val="16"/>
      <w:szCs w:val="16"/>
    </w:rPr>
  </w:style>
  <w:style w:type="paragraph" w:styleId="Commentaire">
    <w:name w:val="annotation text"/>
    <w:basedOn w:val="Normal"/>
    <w:link w:val="CommentaireCar"/>
    <w:uiPriority w:val="99"/>
    <w:unhideWhenUsed/>
    <w:rsid w:val="00A161AA"/>
    <w:pPr>
      <w:spacing w:line="240" w:lineRule="auto"/>
    </w:pPr>
    <w:rPr>
      <w:sz w:val="20"/>
      <w:szCs w:val="20"/>
    </w:rPr>
  </w:style>
  <w:style w:type="character" w:customStyle="1" w:styleId="CommentaireCar">
    <w:name w:val="Commentaire Car"/>
    <w:basedOn w:val="Policepardfaut"/>
    <w:link w:val="Commentaire"/>
    <w:uiPriority w:val="99"/>
    <w:rsid w:val="00A161AA"/>
    <w:rPr>
      <w:sz w:val="20"/>
      <w:szCs w:val="20"/>
      <w:lang w:val="en-US"/>
    </w:rPr>
  </w:style>
  <w:style w:type="paragraph" w:styleId="Objetducommentaire">
    <w:name w:val="annotation subject"/>
    <w:basedOn w:val="Commentaire"/>
    <w:next w:val="Commentaire"/>
    <w:link w:val="ObjetducommentaireCar"/>
    <w:uiPriority w:val="99"/>
    <w:semiHidden/>
    <w:unhideWhenUsed/>
    <w:rsid w:val="00A161AA"/>
    <w:rPr>
      <w:b/>
      <w:bCs/>
    </w:rPr>
  </w:style>
  <w:style w:type="character" w:customStyle="1" w:styleId="ObjetducommentaireCar">
    <w:name w:val="Objet du commentaire Car"/>
    <w:basedOn w:val="CommentaireCar"/>
    <w:link w:val="Objetducommentaire"/>
    <w:uiPriority w:val="99"/>
    <w:semiHidden/>
    <w:rsid w:val="00A161AA"/>
    <w:rPr>
      <w:b/>
      <w:bCs/>
      <w:sz w:val="20"/>
      <w:szCs w:val="20"/>
      <w:lang w:val="en-US"/>
    </w:rPr>
  </w:style>
  <w:style w:type="paragraph" w:styleId="Textedebulles">
    <w:name w:val="Balloon Text"/>
    <w:basedOn w:val="Normal"/>
    <w:link w:val="TextedebullesCar"/>
    <w:uiPriority w:val="99"/>
    <w:semiHidden/>
    <w:unhideWhenUsed/>
    <w:rsid w:val="00A161A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61AA"/>
    <w:rPr>
      <w:rFonts w:ascii="Segoe UI" w:hAnsi="Segoe UI" w:cs="Segoe UI"/>
      <w:sz w:val="18"/>
      <w:szCs w:val="18"/>
      <w:lang w:val="en-US"/>
    </w:rPr>
  </w:style>
  <w:style w:type="paragraph" w:styleId="Paragraphedeliste">
    <w:name w:val="List Paragraph"/>
    <w:basedOn w:val="Normal"/>
    <w:uiPriority w:val="34"/>
    <w:qFormat/>
    <w:rsid w:val="00D84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1404</Words>
  <Characters>7726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7</cp:revision>
  <dcterms:created xsi:type="dcterms:W3CDTF">2017-03-15T15:30:00Z</dcterms:created>
  <dcterms:modified xsi:type="dcterms:W3CDTF">2017-03-15T18:57:00Z</dcterms:modified>
</cp:coreProperties>
</file>