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0E" w:rsidRDefault="0075220E" w:rsidP="0075220E">
      <w:pPr>
        <w:pBdr>
          <w:bottom w:val="single" w:sz="4" w:space="1" w:color="auto"/>
        </w:pBdr>
        <w:rPr>
          <w:b/>
          <w:sz w:val="18"/>
          <w:szCs w:val="18"/>
        </w:rPr>
      </w:pPr>
      <w:r w:rsidRPr="00136EE2">
        <w:rPr>
          <w:b/>
          <w:sz w:val="18"/>
          <w:szCs w:val="18"/>
        </w:rPr>
        <w:t xml:space="preserve">POC </w:t>
      </w:r>
      <w:r>
        <w:rPr>
          <w:b/>
          <w:sz w:val="18"/>
          <w:szCs w:val="18"/>
        </w:rPr>
        <w:t>Name</w:t>
      </w:r>
    </w:p>
    <w:p w:rsidR="0075220E" w:rsidRPr="00A20592" w:rsidRDefault="0075220E" w:rsidP="0075220E">
      <w:pPr>
        <w:rPr>
          <w:sz w:val="18"/>
          <w:szCs w:val="18"/>
        </w:rPr>
      </w:pPr>
      <w:r>
        <w:rPr>
          <w:b/>
          <w:color w:val="C00000"/>
          <w:sz w:val="18"/>
          <w:szCs w:val="18"/>
        </w:rPr>
        <w:t>Settlement Scenarios</w:t>
      </w:r>
      <w:r>
        <w:rPr>
          <w:sz w:val="18"/>
          <w:szCs w:val="18"/>
        </w:rPr>
        <w:t xml:space="preserve">. DLT Technology: </w:t>
      </w:r>
      <w:r w:rsidRPr="00A20592">
        <w:rPr>
          <w:sz w:val="18"/>
          <w:szCs w:val="18"/>
        </w:rPr>
        <w:t>Hyperledger fabric</w:t>
      </w:r>
    </w:p>
    <w:p w:rsidR="0075220E" w:rsidRPr="00136EE2" w:rsidRDefault="0075220E" w:rsidP="0075220E">
      <w:pPr>
        <w:pBdr>
          <w:bottom w:val="single" w:sz="4" w:space="1" w:color="auto"/>
        </w:pBdr>
        <w:rPr>
          <w:b/>
          <w:sz w:val="18"/>
          <w:szCs w:val="18"/>
        </w:rPr>
      </w:pPr>
      <w:r w:rsidRPr="00136EE2">
        <w:rPr>
          <w:b/>
          <w:sz w:val="18"/>
          <w:szCs w:val="18"/>
        </w:rPr>
        <w:t>POC objectives</w:t>
      </w:r>
    </w:p>
    <w:p w:rsidR="0075220E" w:rsidRPr="00A20592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…</w:t>
      </w:r>
    </w:p>
    <w:p w:rsidR="0075220E" w:rsidRDefault="0075220E" w:rsidP="0075220E">
      <w:pPr>
        <w:pBdr>
          <w:bottom w:val="single" w:sz="4" w:space="1" w:color="auto"/>
        </w:pBdr>
        <w:rPr>
          <w:b/>
          <w:sz w:val="18"/>
          <w:szCs w:val="18"/>
        </w:rPr>
      </w:pPr>
    </w:p>
    <w:p w:rsidR="0075220E" w:rsidRPr="00424A61" w:rsidRDefault="0075220E" w:rsidP="0075220E">
      <w:pPr>
        <w:pBdr>
          <w:bottom w:val="single" w:sz="4" w:space="1" w:color="auto"/>
        </w:pBdr>
        <w:rPr>
          <w:b/>
          <w:sz w:val="18"/>
          <w:szCs w:val="18"/>
        </w:rPr>
      </w:pPr>
      <w:r w:rsidRPr="00424A61">
        <w:rPr>
          <w:b/>
          <w:sz w:val="18"/>
          <w:szCs w:val="18"/>
        </w:rPr>
        <w:t>Variants: settlement scenarios</w:t>
      </w:r>
    </w:p>
    <w:p w:rsidR="0075220E" w:rsidRDefault="0075220E" w:rsidP="0075220E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investor’s custodian: SEC (possibly in turn delegated to a sub-custodian, for non-domestic holdings)</w:t>
      </w:r>
    </w:p>
    <w:p w:rsidR="0075220E" w:rsidRDefault="0075220E" w:rsidP="0075220E">
      <w:pPr>
        <w:spacing w:after="0"/>
        <w:rPr>
          <w:sz w:val="18"/>
          <w:szCs w:val="18"/>
        </w:rPr>
      </w:pPr>
      <w:r>
        <w:rPr>
          <w:sz w:val="18"/>
          <w:szCs w:val="18"/>
        </w:rPr>
        <w:t>The investor’s cash account holder: CSH</w:t>
      </w:r>
    </w:p>
    <w:p w:rsidR="0075220E" w:rsidRDefault="0075220E" w:rsidP="0075220E">
      <w:pPr>
        <w:spacing w:after="0"/>
        <w:rPr>
          <w:sz w:val="18"/>
          <w:szCs w:val="18"/>
        </w:rPr>
      </w:pPr>
      <w:r>
        <w:rPr>
          <w:sz w:val="18"/>
          <w:szCs w:val="18"/>
        </w:rPr>
        <w:t>We assume that in all scenarios, the SWIFT infrastructure and protocol are reused.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Quick recap of the analyzed scenarios:</w:t>
      </w:r>
    </w:p>
    <w:p w:rsidR="0075220E" w:rsidRPr="002350A2" w:rsidRDefault="0075220E" w:rsidP="0075220E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2350A2">
        <w:rPr>
          <w:sz w:val="18"/>
          <w:szCs w:val="18"/>
        </w:rPr>
        <w:t>Scenario 1: (SEC) and (CSH) participate the consensus</w:t>
      </w:r>
    </w:p>
    <w:p w:rsidR="0075220E" w:rsidRPr="002350A2" w:rsidRDefault="0075220E" w:rsidP="0075220E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2350A2">
        <w:rPr>
          <w:sz w:val="18"/>
          <w:szCs w:val="18"/>
        </w:rPr>
        <w:t>Scenario 2: (SEC) and (CSH) do not participate the consensus, but are member of a settlement system (e.g. Euroclear), which they trust</w:t>
      </w:r>
    </w:p>
    <w:p w:rsidR="0075220E" w:rsidRDefault="0075220E" w:rsidP="0075220E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2350A2">
        <w:rPr>
          <w:sz w:val="18"/>
          <w:szCs w:val="18"/>
        </w:rPr>
        <w:t>Scenario 3: (SEC) and (CSH) do not participate the consensus, but trust a paying agent (nominee) to act on their behalf (possibly itself in turn delegating the custody of securities to a sub-custodian)</w:t>
      </w:r>
    </w:p>
    <w:p w:rsidR="0075220E" w:rsidRPr="002350A2" w:rsidRDefault="0075220E" w:rsidP="0075220E">
      <w:pPr>
        <w:pStyle w:val="Paragraphedeliste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Scenario 4: an hybrid situation in which scenarios (1), (2) or (3) may happen on a given fund</w:t>
      </w:r>
    </w:p>
    <w:p w:rsidR="0075220E" w:rsidRPr="00982AFD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We shall demonstrate only the easiest scenario to implement in this POC (to be defined). The</w:t>
      </w:r>
      <w:r w:rsidRPr="00F85C80">
        <w:rPr>
          <w:sz w:val="18"/>
          <w:szCs w:val="18"/>
        </w:rPr>
        <w:t xml:space="preserve"> POC “Settlem</w:t>
      </w:r>
      <w:r>
        <w:rPr>
          <w:sz w:val="18"/>
          <w:szCs w:val="18"/>
        </w:rPr>
        <w:t>ent Scenarios” is intended to further demonstrate the flexibility of our model regarding the diverse approaches to settlement.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In all these variants, we assume that the fund custodian (CUS) participate the consensus.</w:t>
      </w:r>
    </w:p>
    <w:p w:rsidR="0075220E" w:rsidRPr="0027281A" w:rsidRDefault="0075220E" w:rsidP="0075220E">
      <w:pPr>
        <w:rPr>
          <w:i/>
          <w:sz w:val="18"/>
          <w:szCs w:val="18"/>
        </w:rPr>
      </w:pPr>
      <w:r w:rsidRPr="0027281A">
        <w:rPr>
          <w:i/>
          <w:sz w:val="18"/>
          <w:szCs w:val="18"/>
        </w:rPr>
        <w:t>Scenario 1</w:t>
      </w:r>
    </w:p>
    <w:p w:rsidR="0075220E" w:rsidRPr="0027281A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spacing w:after="0"/>
        <w:rPr>
          <w:i/>
          <w:sz w:val="18"/>
          <w:szCs w:val="18"/>
        </w:rPr>
      </w:pPr>
      <w:r w:rsidRPr="0027281A">
        <w:rPr>
          <w:i/>
          <w:sz w:val="18"/>
          <w:szCs w:val="18"/>
        </w:rPr>
        <w:t>Rationale</w:t>
      </w:r>
    </w:p>
    <w:p w:rsidR="0075220E" w:rsidRPr="0027281A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rPr>
          <w:sz w:val="18"/>
          <w:szCs w:val="18"/>
        </w:rPr>
      </w:pPr>
      <w:r w:rsidRPr="0027281A">
        <w:rPr>
          <w:sz w:val="18"/>
          <w:szCs w:val="18"/>
        </w:rPr>
        <w:t>Custodians must accept to participate an asset-class specific platform: from their point of view, such a fragmentation may be unacceptable. For funds custodians, the problem only concerns cash to manage inflows to the fund. This might be more acceptable.</w:t>
      </w:r>
      <w:r>
        <w:rPr>
          <w:sz w:val="18"/>
          <w:szCs w:val="18"/>
        </w:rPr>
        <w:t xml:space="preserve"> </w:t>
      </w:r>
      <w:r w:rsidRPr="0027281A">
        <w:rPr>
          <w:sz w:val="18"/>
          <w:szCs w:val="18"/>
        </w:rPr>
        <w:t>There are as many investors custodians as banks. This makes many participants: investors whose bank is not a participant would be barred from posting orders. This might curb the adoption of such a platform.</w:t>
      </w:r>
      <w:r>
        <w:rPr>
          <w:sz w:val="18"/>
          <w:szCs w:val="18"/>
        </w:rPr>
        <w:t xml:space="preserve"> </w:t>
      </w:r>
      <w:r w:rsidRPr="0027281A">
        <w:rPr>
          <w:sz w:val="18"/>
          <w:szCs w:val="18"/>
        </w:rPr>
        <w:t xml:space="preserve">On the other hand, their participation to the consensus makes for a more efficient order workflow, since cash and securities transfers may directly validated without further exchanges of messages: the role of transfer agent is no more </w:t>
      </w:r>
      <w:r>
        <w:rPr>
          <w:sz w:val="18"/>
          <w:szCs w:val="18"/>
        </w:rPr>
        <w:t>necessary</w:t>
      </w:r>
      <w:r w:rsidRPr="0027281A">
        <w:rPr>
          <w:sz w:val="18"/>
          <w:szCs w:val="18"/>
        </w:rPr>
        <w:t xml:space="preserve"> in this setup (or limited to a fiduciary responsibility).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 xml:space="preserve">SEC &amp; CSH participate to the 3 order transitions: </w:t>
      </w:r>
      <w:proofErr w:type="spellStart"/>
      <w:r>
        <w:rPr>
          <w:sz w:val="18"/>
          <w:szCs w:val="18"/>
        </w:rPr>
        <w:t>ExecuteOrder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InstructOrder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SettleOrder</w:t>
      </w:r>
      <w:proofErr w:type="spellEnd"/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Additional endorsement logics for SEC &amp; CSH:</w:t>
      </w:r>
    </w:p>
    <w:p w:rsidR="0075220E" w:rsidRPr="00F85C80" w:rsidRDefault="0075220E" w:rsidP="0075220E">
      <w:pPr>
        <w:rPr>
          <w:sz w:val="18"/>
          <w:szCs w:val="18"/>
        </w:rPr>
      </w:pPr>
      <w:proofErr w:type="spellStart"/>
      <w:r w:rsidRPr="00834AB6">
        <w:rPr>
          <w:b/>
          <w:sz w:val="18"/>
          <w:szCs w:val="18"/>
        </w:rPr>
        <w:t>ExecuteOrder</w:t>
      </w:r>
      <w:proofErr w:type="spellEnd"/>
      <w:r>
        <w:rPr>
          <w:sz w:val="18"/>
          <w:szCs w:val="18"/>
        </w:rPr>
        <w:t xml:space="preserve">: on the CSH peer node, the chaincode post a local message to the client (note that HL events are not workable for that purpose, one shall code a raw messaging with </w:t>
      </w:r>
      <w:proofErr w:type="spellStart"/>
      <w:r>
        <w:rPr>
          <w:sz w:val="18"/>
          <w:szCs w:val="18"/>
        </w:rPr>
        <w:t>grpc</w:t>
      </w:r>
      <w:proofErr w:type="spellEnd"/>
      <w:r>
        <w:rPr>
          <w:sz w:val="18"/>
          <w:szCs w:val="18"/>
        </w:rPr>
        <w:t>). The CSH is then free to check the investor’s cash account (for subscriptions) to endorse the order.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proofErr w:type="spellStart"/>
      <w:r w:rsidRPr="00834AB6">
        <w:rPr>
          <w:b/>
          <w:sz w:val="18"/>
          <w:szCs w:val="18"/>
        </w:rPr>
        <w:t>InstructOrder</w:t>
      </w:r>
      <w:proofErr w:type="spellEnd"/>
      <w:r>
        <w:rPr>
          <w:sz w:val="18"/>
          <w:szCs w:val="18"/>
        </w:rPr>
        <w:t>: the CSH and SEC participate to the endorsement of the instruction details.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Option 1: they do not have to post instructions: the TAG does it already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Option 2: in this situation (e.g. French model), they post their instructions (“</w:t>
      </w:r>
      <w:proofErr w:type="spellStart"/>
      <w:r>
        <w:rPr>
          <w:sz w:val="18"/>
          <w:szCs w:val="18"/>
        </w:rPr>
        <w:t>teneur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compte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conservateur</w:t>
      </w:r>
      <w:proofErr w:type="spellEnd"/>
      <w:r>
        <w:rPr>
          <w:sz w:val="18"/>
          <w:szCs w:val="18"/>
        </w:rPr>
        <w:t>”) and the TAG sits idle.</w:t>
      </w:r>
    </w:p>
    <w:p w:rsidR="0075220E" w:rsidRDefault="0075220E" w:rsidP="0075220E">
      <w:pPr>
        <w:jc w:val="both"/>
        <w:rPr>
          <w:sz w:val="18"/>
          <w:szCs w:val="18"/>
        </w:rPr>
      </w:pPr>
      <w:r>
        <w:rPr>
          <w:sz w:val="18"/>
          <w:szCs w:val="18"/>
        </w:rPr>
        <w:t>The idea with these 2 options is to relieve the system from a post-trade reconciliation.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proofErr w:type="spellStart"/>
      <w:r w:rsidRPr="00834AB6">
        <w:rPr>
          <w:b/>
          <w:sz w:val="18"/>
          <w:szCs w:val="18"/>
        </w:rPr>
        <w:t>SettleOrder</w:t>
      </w:r>
      <w:proofErr w:type="spellEnd"/>
      <w:r>
        <w:rPr>
          <w:sz w:val="18"/>
          <w:szCs w:val="18"/>
        </w:rPr>
        <w:t>: idem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Again, a local message is posted to CSH and SEC, in order to check their own system (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>: redeemed cash has been received, subscribed securities have been delivered).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This scenario obviously supports a central settlement system in the middle (such as Euroclear or Clearstream).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</w:p>
    <w:p w:rsidR="0075220E" w:rsidRDefault="0075220E" w:rsidP="0075220E">
      <w:pPr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5220E" w:rsidRPr="0027281A" w:rsidRDefault="0075220E" w:rsidP="0075220E">
      <w:pPr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>Scenario 2</w:t>
      </w:r>
    </w:p>
    <w:p w:rsidR="0075220E" w:rsidRPr="0027281A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spacing w:after="0"/>
        <w:rPr>
          <w:i/>
          <w:sz w:val="18"/>
          <w:szCs w:val="18"/>
        </w:rPr>
      </w:pPr>
      <w:r w:rsidRPr="0027281A">
        <w:rPr>
          <w:i/>
          <w:sz w:val="18"/>
          <w:szCs w:val="18"/>
        </w:rPr>
        <w:t>Rationale</w:t>
      </w:r>
      <w:bookmarkStart w:id="0" w:name="_GoBack"/>
      <w:bookmarkEnd w:id="0"/>
    </w:p>
    <w:p w:rsidR="0075220E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rPr>
          <w:sz w:val="18"/>
          <w:szCs w:val="18"/>
        </w:rPr>
      </w:pPr>
      <w:r>
        <w:rPr>
          <w:sz w:val="18"/>
          <w:szCs w:val="18"/>
        </w:rPr>
        <w:t>In this scenario, only the settlement system invests in connecting to the new platform. Member banks just continue business almost as usual: however, they fully trust a party, such as Euroclear, to execute DVP operations. This scenario is thus probably easier to adopt on a wide scale. Again, the messaging may be carried on by this party or by the TAG (same options available). A possible blocking issue is that banks no more emit orders.</w:t>
      </w:r>
    </w:p>
    <w:p w:rsidR="0075220E" w:rsidRPr="0027281A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rPr>
          <w:sz w:val="18"/>
          <w:szCs w:val="18"/>
        </w:rPr>
      </w:pPr>
      <w:r>
        <w:rPr>
          <w:sz w:val="18"/>
          <w:szCs w:val="18"/>
        </w:rPr>
        <w:t>For banks with a distributor role, this is certainly a problem… Unless that they accept to participate to the platform as distributors only.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 xml:space="preserve">SEC &amp; CSH do not participate to the 3 order transitions: </w:t>
      </w:r>
      <w:proofErr w:type="spellStart"/>
      <w:r>
        <w:rPr>
          <w:sz w:val="18"/>
          <w:szCs w:val="18"/>
        </w:rPr>
        <w:t>ExecuteOrder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InstructOrder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SettleOrder</w:t>
      </w:r>
      <w:proofErr w:type="spellEnd"/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 xml:space="preserve">On the other hand, the settlement system they are member of does participate, with a delegation on these roles. 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Additional endorsement logics for SEC &amp; CSH remain the same as for scenario 1. Cash account check is however not possible.</w:t>
      </w:r>
    </w:p>
    <w:p w:rsidR="0075220E" w:rsidRPr="0027281A" w:rsidRDefault="0075220E" w:rsidP="0075220E">
      <w:pPr>
        <w:rPr>
          <w:i/>
          <w:sz w:val="18"/>
          <w:szCs w:val="18"/>
        </w:rPr>
      </w:pPr>
      <w:r>
        <w:rPr>
          <w:i/>
          <w:sz w:val="18"/>
          <w:szCs w:val="18"/>
        </w:rPr>
        <w:t>Scenario 3</w:t>
      </w:r>
    </w:p>
    <w:p w:rsidR="0075220E" w:rsidRPr="0027281A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spacing w:after="0"/>
        <w:rPr>
          <w:i/>
          <w:sz w:val="18"/>
          <w:szCs w:val="18"/>
        </w:rPr>
      </w:pPr>
      <w:r w:rsidRPr="0027281A">
        <w:rPr>
          <w:i/>
          <w:sz w:val="18"/>
          <w:szCs w:val="18"/>
        </w:rPr>
        <w:t>Rationale</w:t>
      </w:r>
    </w:p>
    <w:p w:rsidR="0075220E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rPr>
          <w:sz w:val="18"/>
          <w:szCs w:val="18"/>
        </w:rPr>
      </w:pPr>
      <w:r>
        <w:rPr>
          <w:sz w:val="18"/>
          <w:szCs w:val="18"/>
        </w:rPr>
        <w:t>This again is a delegation situation. It is very similar to scenario 2. In this setup however, we do not necessarily pass through a settlement system (which guarantees DVP) and payment instructions may have to be matched against their delivery counterpart (“</w:t>
      </w:r>
      <w:proofErr w:type="spellStart"/>
      <w:r>
        <w:rPr>
          <w:sz w:val="18"/>
          <w:szCs w:val="18"/>
        </w:rPr>
        <w:t>franco</w:t>
      </w:r>
      <w:proofErr w:type="spellEnd"/>
      <w:r>
        <w:rPr>
          <w:sz w:val="18"/>
          <w:szCs w:val="18"/>
        </w:rPr>
        <w:t>” procedure).</w:t>
      </w:r>
    </w:p>
    <w:p w:rsidR="0075220E" w:rsidRPr="0027281A" w:rsidRDefault="0075220E" w:rsidP="0075220E">
      <w:pPr>
        <w:pBdr>
          <w:top w:val="single" w:sz="4" w:space="1" w:color="44546A" w:themeColor="text2"/>
          <w:left w:val="single" w:sz="4" w:space="4" w:color="44546A" w:themeColor="text2"/>
          <w:bottom w:val="single" w:sz="4" w:space="1" w:color="44546A" w:themeColor="text2"/>
          <w:right w:val="single" w:sz="4" w:space="4" w:color="44546A" w:themeColor="text2"/>
        </w:pBdr>
        <w:rPr>
          <w:sz w:val="18"/>
          <w:szCs w:val="18"/>
        </w:rPr>
      </w:pPr>
      <w:r>
        <w:rPr>
          <w:sz w:val="18"/>
          <w:szCs w:val="18"/>
        </w:rPr>
        <w:t xml:space="preserve">Again, nominees often play a double role as distributor (e.g. platforms such as </w:t>
      </w:r>
      <w:proofErr w:type="spellStart"/>
      <w:r>
        <w:rPr>
          <w:sz w:val="18"/>
          <w:szCs w:val="18"/>
        </w:rPr>
        <w:t>AllFunds</w:t>
      </w:r>
      <w:proofErr w:type="spellEnd"/>
      <w:r>
        <w:rPr>
          <w:sz w:val="18"/>
          <w:szCs w:val="18"/>
        </w:rPr>
        <w:t>, …).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 xml:space="preserve">SEC &amp; CSH do not participate to the 3 order transitions: </w:t>
      </w:r>
      <w:proofErr w:type="spellStart"/>
      <w:r>
        <w:rPr>
          <w:sz w:val="18"/>
          <w:szCs w:val="18"/>
        </w:rPr>
        <w:t>ExecuteOrder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InstructOrder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SettleOrder</w:t>
      </w:r>
      <w:proofErr w:type="spellEnd"/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 xml:space="preserve">On the other hand, the nominee they are customer of does participate, with a delegation on these roles. </w:t>
      </w:r>
    </w:p>
    <w:p w:rsidR="0075220E" w:rsidRDefault="0075220E" w:rsidP="0075220E">
      <w:pPr>
        <w:rPr>
          <w:sz w:val="18"/>
          <w:szCs w:val="18"/>
        </w:rPr>
      </w:pPr>
      <w:r>
        <w:rPr>
          <w:sz w:val="18"/>
          <w:szCs w:val="18"/>
        </w:rPr>
        <w:t>Additional endorsement logics for SEC &amp; CSH remain the same as for scenario 1. Cash account check is however not possible.</w:t>
      </w:r>
    </w:p>
    <w:p w:rsidR="0075220E" w:rsidRPr="0027281A" w:rsidRDefault="0075220E" w:rsidP="0075220E">
      <w:pPr>
        <w:rPr>
          <w:i/>
          <w:sz w:val="18"/>
          <w:szCs w:val="18"/>
        </w:rPr>
      </w:pPr>
      <w:r>
        <w:rPr>
          <w:i/>
          <w:sz w:val="18"/>
          <w:szCs w:val="18"/>
        </w:rPr>
        <w:t>Scenario 4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The difficulty with this scenario lays in the dynamic decision to adopt the behavior expected by the other scenarios;</w:t>
      </w:r>
    </w:p>
    <w:p w:rsidR="0075220E" w:rsidRDefault="0075220E" w:rsidP="0075220E">
      <w:pPr>
        <w:spacing w:after="0"/>
        <w:jc w:val="both"/>
        <w:rPr>
          <w:sz w:val="18"/>
          <w:szCs w:val="18"/>
        </w:rPr>
      </w:pPr>
    </w:p>
    <w:p w:rsidR="0075220E" w:rsidRDefault="0075220E" w:rsidP="0075220E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:rsidR="00032003" w:rsidRDefault="00032003"/>
    <w:sectPr w:rsidR="0003200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D4" w:rsidRDefault="00751AD4" w:rsidP="0075220E">
      <w:pPr>
        <w:spacing w:after="0" w:line="240" w:lineRule="auto"/>
      </w:pPr>
      <w:r>
        <w:separator/>
      </w:r>
    </w:p>
  </w:endnote>
  <w:endnote w:type="continuationSeparator" w:id="0">
    <w:p w:rsidR="00751AD4" w:rsidRDefault="00751AD4" w:rsidP="0075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D4" w:rsidRDefault="00751AD4" w:rsidP="0075220E">
      <w:pPr>
        <w:spacing w:after="0" w:line="240" w:lineRule="auto"/>
      </w:pPr>
      <w:r>
        <w:separator/>
      </w:r>
    </w:p>
  </w:footnote>
  <w:footnote w:type="continuationSeparator" w:id="0">
    <w:p w:rsidR="00751AD4" w:rsidRDefault="00751AD4" w:rsidP="0075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0E" w:rsidRDefault="0075220E" w:rsidP="0075220E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5E1EA7E0" wp14:editId="591B2A98">
          <wp:simplePos x="0" y="0"/>
          <wp:positionH relativeFrom="column">
            <wp:posOffset>5653405</wp:posOffset>
          </wp:positionH>
          <wp:positionV relativeFrom="paragraph">
            <wp:posOffset>-268605</wp:posOffset>
          </wp:positionV>
          <wp:extent cx="809625" cy="604999"/>
          <wp:effectExtent l="0" t="0" r="0" b="5080"/>
          <wp:wrapNone/>
          <wp:docPr id="6" name="Image 6" descr="C:\Users\root\AppData\Local\Microsoft\Windows\INetCacheContent.Word\fc314c_62f6c38ff5064bab95b486882a3045cb-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C:\Users\root\AppData\Local\Microsoft\Windows\INetCacheContent.Word\fc314c_62f6c38ff5064bab95b486882a3045cb-mv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049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DLT for the Asset Management Industry – Detailed POC requirements series</w:t>
    </w:r>
  </w:p>
  <w:p w:rsidR="0075220E" w:rsidRDefault="0075220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21300"/>
    <w:multiLevelType w:val="hybridMultilevel"/>
    <w:tmpl w:val="16540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040B"/>
    <w:multiLevelType w:val="hybridMultilevel"/>
    <w:tmpl w:val="7F7639AE"/>
    <w:lvl w:ilvl="0" w:tplc="238AF1AA">
      <w:start w:val="5"/>
      <w:numFmt w:val="bullet"/>
      <w:pStyle w:val="Paragraphedeliste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44"/>
    <w:rsid w:val="00032003"/>
    <w:rsid w:val="0037388F"/>
    <w:rsid w:val="00602254"/>
    <w:rsid w:val="00655954"/>
    <w:rsid w:val="00751AD4"/>
    <w:rsid w:val="0075220E"/>
    <w:rsid w:val="007D5203"/>
    <w:rsid w:val="00A61E44"/>
    <w:rsid w:val="00AF33DA"/>
    <w:rsid w:val="00B41B5D"/>
    <w:rsid w:val="00D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7553"/>
  <w15:chartTrackingRefBased/>
  <w15:docId w15:val="{B1C66BB6-D1E9-4EBF-89CE-3E97757A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220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20E"/>
    <w:pPr>
      <w:numPr>
        <w:numId w:val="1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752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20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522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20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2</cp:revision>
  <dcterms:created xsi:type="dcterms:W3CDTF">2017-03-30T03:56:00Z</dcterms:created>
  <dcterms:modified xsi:type="dcterms:W3CDTF">2017-03-30T03:57:00Z</dcterms:modified>
</cp:coreProperties>
</file>