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003" w:rsidRPr="008D6154" w:rsidRDefault="008D6154">
      <w:pPr>
        <w:rPr>
          <w:b/>
          <w:lang w:val="fr-FR"/>
        </w:rPr>
      </w:pPr>
      <w:proofErr w:type="gramStart"/>
      <w:r w:rsidRPr="008D6154">
        <w:rPr>
          <w:b/>
          <w:lang w:val="fr-FR"/>
        </w:rPr>
        <w:t>TheFundsChain:</w:t>
      </w:r>
      <w:proofErr w:type="gramEnd"/>
      <w:r w:rsidRPr="008D6154">
        <w:rPr>
          <w:b/>
          <w:lang w:val="fr-FR"/>
        </w:rPr>
        <w:t xml:space="preserve"> innovation et distribution de fonds</w:t>
      </w:r>
    </w:p>
    <w:p w:rsidR="008D6154" w:rsidRDefault="008D6154">
      <w:pPr>
        <w:rPr>
          <w:lang w:val="fr-FR"/>
        </w:rPr>
      </w:pPr>
    </w:p>
    <w:p w:rsidR="009305F4" w:rsidRDefault="008D6154" w:rsidP="008D6154">
      <w:pPr>
        <w:jc w:val="both"/>
        <w:rPr>
          <w:lang w:val="fr-FR"/>
        </w:rPr>
      </w:pPr>
      <w:r w:rsidRPr="008D6154">
        <w:rPr>
          <w:b/>
          <w:lang w:val="fr-FR"/>
        </w:rPr>
        <w:t>Contexte</w:t>
      </w:r>
      <w:r w:rsidR="00E01317">
        <w:rPr>
          <w:b/>
          <w:lang w:val="fr-FR"/>
        </w:rPr>
        <w:t> </w:t>
      </w:r>
      <w:r>
        <w:rPr>
          <w:lang w:val="fr-FR"/>
        </w:rPr>
        <w:t>: T</w:t>
      </w:r>
      <w:r w:rsidR="00E01317">
        <w:rPr>
          <w:lang w:val="fr-FR"/>
        </w:rPr>
        <w:t xml:space="preserve">heFundsChain est un service complet d'infrastructure </w:t>
      </w:r>
      <w:r>
        <w:rPr>
          <w:lang w:val="fr-FR"/>
        </w:rPr>
        <w:t>de distribution et d'administration de fonds d'investissement</w:t>
      </w:r>
      <w:r w:rsidR="009305F4">
        <w:rPr>
          <w:lang w:val="fr-FR"/>
        </w:rPr>
        <w:t>, multi-juridictions, à l'échelle européenne.</w:t>
      </w:r>
    </w:p>
    <w:p w:rsidR="008D6154" w:rsidRDefault="008D6154" w:rsidP="008D6154">
      <w:pPr>
        <w:jc w:val="both"/>
        <w:rPr>
          <w:lang w:val="fr-FR"/>
        </w:rPr>
      </w:pPr>
      <w:r>
        <w:rPr>
          <w:lang w:val="fr-FR"/>
        </w:rPr>
        <w:t xml:space="preserve">Sa nature distribuée et sécurisée, basée sur la technologie de registre distribué Hyperledger </w:t>
      </w:r>
      <w:proofErr w:type="spellStart"/>
      <w:r>
        <w:rPr>
          <w:lang w:val="fr-FR"/>
        </w:rPr>
        <w:t>Fabric</w:t>
      </w:r>
      <w:proofErr w:type="spellEnd"/>
      <w:r>
        <w:rPr>
          <w:lang w:val="fr-FR"/>
        </w:rPr>
        <w:t xml:space="preserve"> (DLT, autrement dit une "blockchain"), permet aux acteurs de l'écosystème de la gestion d'actifs, </w:t>
      </w:r>
      <w:r w:rsidR="009305F4">
        <w:rPr>
          <w:lang w:val="fr-FR"/>
        </w:rPr>
        <w:t xml:space="preserve">qu'ils soient </w:t>
      </w:r>
      <w:r>
        <w:rPr>
          <w:lang w:val="fr-FR"/>
        </w:rPr>
        <w:t>concurrents ou partenaires, de collaborer afin d'optimiser l'ensemble des processus métier de l'industrie.</w:t>
      </w:r>
    </w:p>
    <w:p w:rsidR="009305F4" w:rsidRDefault="009305F4" w:rsidP="008D6154">
      <w:pPr>
        <w:jc w:val="both"/>
        <w:rPr>
          <w:lang w:val="fr-FR"/>
        </w:rPr>
      </w:pPr>
      <w:r>
        <w:rPr>
          <w:lang w:val="fr-FR"/>
        </w:rPr>
        <w:t>Qu</w:t>
      </w:r>
      <w:r w:rsidR="00992F71">
        <w:rPr>
          <w:lang w:val="fr-FR"/>
        </w:rPr>
        <w:t>els sont les acteurs concernés</w:t>
      </w:r>
      <w:r w:rsidR="00A4794B">
        <w:rPr>
          <w:lang w:val="fr-FR"/>
        </w:rPr>
        <w:t> </w:t>
      </w:r>
      <w:r w:rsidR="00992F71">
        <w:rPr>
          <w:lang w:val="fr-FR"/>
        </w:rPr>
        <w:t>?</w:t>
      </w:r>
    </w:p>
    <w:p w:rsidR="009305F4" w:rsidRDefault="009305F4" w:rsidP="009305F4">
      <w:pPr>
        <w:pStyle w:val="Paragraphedeliste"/>
        <w:numPr>
          <w:ilvl w:val="0"/>
          <w:numId w:val="1"/>
        </w:numPr>
        <w:jc w:val="both"/>
        <w:rPr>
          <w:lang w:val="fr-FR"/>
        </w:rPr>
      </w:pPr>
      <w:r>
        <w:rPr>
          <w:lang w:val="fr-FR"/>
        </w:rPr>
        <w:t>Conseillers, consultants</w:t>
      </w:r>
    </w:p>
    <w:p w:rsidR="009305F4" w:rsidRDefault="009305F4" w:rsidP="009305F4">
      <w:pPr>
        <w:pStyle w:val="Paragraphedeliste"/>
        <w:numPr>
          <w:ilvl w:val="0"/>
          <w:numId w:val="1"/>
        </w:numPr>
        <w:jc w:val="both"/>
        <w:rPr>
          <w:lang w:val="fr-FR"/>
        </w:rPr>
      </w:pPr>
      <w:r>
        <w:rPr>
          <w:lang w:val="fr-FR"/>
        </w:rPr>
        <w:t>Investisseurs institutionnels</w:t>
      </w:r>
    </w:p>
    <w:p w:rsidR="009305F4" w:rsidRDefault="009305F4" w:rsidP="009305F4">
      <w:pPr>
        <w:pStyle w:val="Paragraphedeliste"/>
        <w:numPr>
          <w:ilvl w:val="0"/>
          <w:numId w:val="1"/>
        </w:numPr>
        <w:jc w:val="both"/>
        <w:rPr>
          <w:lang w:val="fr-FR"/>
        </w:rPr>
      </w:pPr>
      <w:r>
        <w:rPr>
          <w:lang w:val="fr-FR"/>
        </w:rPr>
        <w:t>Distributeurs : réseaux et plates-formes, y compris assurances</w:t>
      </w:r>
    </w:p>
    <w:p w:rsidR="009305F4" w:rsidRDefault="009305F4" w:rsidP="009305F4">
      <w:pPr>
        <w:pStyle w:val="Paragraphedeliste"/>
        <w:numPr>
          <w:ilvl w:val="0"/>
          <w:numId w:val="1"/>
        </w:numPr>
        <w:jc w:val="both"/>
        <w:rPr>
          <w:lang w:val="fr-FR"/>
        </w:rPr>
      </w:pPr>
      <w:r>
        <w:rPr>
          <w:lang w:val="fr-FR"/>
        </w:rPr>
        <w:t>Promoteurs et gestionnaires de fonds</w:t>
      </w:r>
    </w:p>
    <w:p w:rsidR="009305F4" w:rsidRDefault="009305F4" w:rsidP="009305F4">
      <w:pPr>
        <w:pStyle w:val="Paragraphedeliste"/>
        <w:numPr>
          <w:ilvl w:val="0"/>
          <w:numId w:val="1"/>
        </w:numPr>
        <w:jc w:val="both"/>
        <w:rPr>
          <w:lang w:val="fr-FR"/>
        </w:rPr>
      </w:pPr>
      <w:r>
        <w:rPr>
          <w:lang w:val="fr-FR"/>
        </w:rPr>
        <w:t>Administrateurs de fonds (dépositaires, centralisateurs et agents de transfert, valorisateurs)</w:t>
      </w:r>
    </w:p>
    <w:p w:rsidR="009305F4" w:rsidRDefault="009305F4" w:rsidP="009305F4">
      <w:pPr>
        <w:pStyle w:val="Paragraphedeliste"/>
        <w:numPr>
          <w:ilvl w:val="0"/>
          <w:numId w:val="1"/>
        </w:numPr>
        <w:jc w:val="both"/>
        <w:rPr>
          <w:lang w:val="fr-FR"/>
        </w:rPr>
      </w:pPr>
      <w:r>
        <w:rPr>
          <w:lang w:val="fr-FR"/>
        </w:rPr>
        <w:t>Banques Teneur de compte conservateur, intermédiaires en compte ("</w:t>
      </w:r>
      <w:proofErr w:type="spellStart"/>
      <w:r>
        <w:rPr>
          <w:lang w:val="fr-FR"/>
        </w:rPr>
        <w:t>nominees</w:t>
      </w:r>
      <w:proofErr w:type="spellEnd"/>
      <w:r>
        <w:rPr>
          <w:lang w:val="fr-FR"/>
        </w:rPr>
        <w:t>")</w:t>
      </w:r>
    </w:p>
    <w:p w:rsidR="009305F4" w:rsidRPr="009305F4" w:rsidRDefault="00992F71" w:rsidP="009305F4">
      <w:pPr>
        <w:pStyle w:val="Paragraphedeliste"/>
        <w:numPr>
          <w:ilvl w:val="0"/>
          <w:numId w:val="1"/>
        </w:numPr>
        <w:jc w:val="both"/>
        <w:rPr>
          <w:lang w:val="fr-FR"/>
        </w:rPr>
      </w:pPr>
      <w:r>
        <w:rPr>
          <w:lang w:val="fr-FR"/>
        </w:rPr>
        <w:t xml:space="preserve">Autorités </w:t>
      </w:r>
      <w:r w:rsidR="009305F4">
        <w:rPr>
          <w:lang w:val="fr-FR"/>
        </w:rPr>
        <w:t>règlementaire</w:t>
      </w:r>
      <w:r>
        <w:rPr>
          <w:lang w:val="fr-FR"/>
        </w:rPr>
        <w:t>s</w:t>
      </w:r>
    </w:p>
    <w:p w:rsidR="00D17CD1" w:rsidRDefault="00D17CD1">
      <w:pPr>
        <w:rPr>
          <w:b/>
          <w:lang w:val="fr-FR"/>
        </w:rPr>
      </w:pPr>
    </w:p>
    <w:p w:rsidR="00D17CD1" w:rsidRDefault="00D17CD1">
      <w:pPr>
        <w:rPr>
          <w:b/>
          <w:lang w:val="fr-FR"/>
        </w:rPr>
      </w:pPr>
      <w:r>
        <w:rPr>
          <w:b/>
          <w:lang w:val="fr-FR"/>
        </w:rPr>
        <w:t>TheFundsChain V1 : quels services ?</w:t>
      </w:r>
    </w:p>
    <w:p w:rsidR="00D17CD1" w:rsidRDefault="00D17CD1" w:rsidP="00D17CD1">
      <w:pPr>
        <w:rPr>
          <w:lang w:val="fr-FR"/>
        </w:rPr>
      </w:pPr>
      <w:r>
        <w:rPr>
          <w:lang w:val="fr-FR"/>
        </w:rPr>
        <w:t>TheFundsChain couvre les processus suivants.</w:t>
      </w:r>
    </w:p>
    <w:tbl>
      <w:tblPr>
        <w:tblStyle w:val="Grilledutableau"/>
        <w:tblW w:w="0" w:type="auto"/>
        <w:tblLook w:val="04A0" w:firstRow="1" w:lastRow="0" w:firstColumn="1" w:lastColumn="0" w:noHBand="0" w:noVBand="1"/>
      </w:tblPr>
      <w:tblGrid>
        <w:gridCol w:w="1462"/>
        <w:gridCol w:w="2068"/>
        <w:gridCol w:w="1591"/>
        <w:gridCol w:w="1907"/>
        <w:gridCol w:w="2034"/>
      </w:tblGrid>
      <w:tr w:rsidR="00A4794B" w:rsidTr="00A4794B">
        <w:tc>
          <w:tcPr>
            <w:tcW w:w="1462" w:type="dxa"/>
          </w:tcPr>
          <w:p w:rsidR="00A4794B" w:rsidRDefault="00A4794B" w:rsidP="00D17CD1">
            <w:pPr>
              <w:rPr>
                <w:lang w:val="fr-FR"/>
              </w:rPr>
            </w:pPr>
            <w:r>
              <w:rPr>
                <w:lang w:val="fr-FR"/>
              </w:rPr>
              <w:t>Investisseur</w:t>
            </w:r>
            <w:bookmarkStart w:id="0" w:name="_GoBack"/>
            <w:bookmarkEnd w:id="0"/>
          </w:p>
        </w:tc>
        <w:tc>
          <w:tcPr>
            <w:tcW w:w="2068" w:type="dxa"/>
          </w:tcPr>
          <w:p w:rsidR="00A4794B" w:rsidRDefault="00A4794B" w:rsidP="00D17CD1">
            <w:pPr>
              <w:rPr>
                <w:lang w:val="fr-FR"/>
              </w:rPr>
            </w:pPr>
            <w:r>
              <w:rPr>
                <w:lang w:val="fr-FR"/>
              </w:rPr>
              <w:t>Juridique</w:t>
            </w:r>
          </w:p>
        </w:tc>
        <w:tc>
          <w:tcPr>
            <w:tcW w:w="1591" w:type="dxa"/>
          </w:tcPr>
          <w:p w:rsidR="00A4794B" w:rsidRDefault="00A4794B" w:rsidP="00D17CD1">
            <w:pPr>
              <w:rPr>
                <w:lang w:val="fr-FR"/>
              </w:rPr>
            </w:pPr>
            <w:r>
              <w:rPr>
                <w:lang w:val="fr-FR"/>
              </w:rPr>
              <w:t>Conformité</w:t>
            </w:r>
          </w:p>
        </w:tc>
        <w:tc>
          <w:tcPr>
            <w:tcW w:w="1907" w:type="dxa"/>
          </w:tcPr>
          <w:p w:rsidR="00A4794B" w:rsidRDefault="00A4794B" w:rsidP="00D17CD1">
            <w:pPr>
              <w:rPr>
                <w:lang w:val="fr-FR"/>
              </w:rPr>
            </w:pPr>
            <w:r>
              <w:rPr>
                <w:lang w:val="fr-FR"/>
              </w:rPr>
              <w:t>Commercial</w:t>
            </w:r>
          </w:p>
        </w:tc>
        <w:tc>
          <w:tcPr>
            <w:tcW w:w="2034" w:type="dxa"/>
          </w:tcPr>
          <w:p w:rsidR="00A4794B" w:rsidRDefault="00A4794B" w:rsidP="00D17CD1">
            <w:pPr>
              <w:rPr>
                <w:lang w:val="fr-FR"/>
              </w:rPr>
            </w:pPr>
            <w:r>
              <w:rPr>
                <w:lang w:val="fr-FR"/>
              </w:rPr>
              <w:t>Administration</w:t>
            </w:r>
          </w:p>
        </w:tc>
      </w:tr>
      <w:tr w:rsidR="00A4794B" w:rsidTr="00A4794B">
        <w:tc>
          <w:tcPr>
            <w:tcW w:w="1462" w:type="dxa"/>
          </w:tcPr>
          <w:p w:rsidR="00A4794B" w:rsidRDefault="00A4794B" w:rsidP="00D17CD1">
            <w:pPr>
              <w:rPr>
                <w:lang w:val="fr-FR"/>
              </w:rPr>
            </w:pPr>
          </w:p>
        </w:tc>
        <w:tc>
          <w:tcPr>
            <w:tcW w:w="2068" w:type="dxa"/>
          </w:tcPr>
          <w:p w:rsidR="00A4794B" w:rsidRDefault="00A4794B" w:rsidP="00D17CD1">
            <w:pPr>
              <w:rPr>
                <w:lang w:val="fr-FR"/>
              </w:rPr>
            </w:pPr>
            <w:r>
              <w:rPr>
                <w:lang w:val="fr-FR"/>
              </w:rPr>
              <w:t>Enregistrement</w:t>
            </w:r>
          </w:p>
        </w:tc>
        <w:tc>
          <w:tcPr>
            <w:tcW w:w="1591" w:type="dxa"/>
          </w:tcPr>
          <w:p w:rsidR="00A4794B" w:rsidRDefault="00A4794B" w:rsidP="00D17CD1">
            <w:pPr>
              <w:rPr>
                <w:lang w:val="fr-FR"/>
              </w:rPr>
            </w:pPr>
            <w:r>
              <w:rPr>
                <w:lang w:val="fr-FR"/>
              </w:rPr>
              <w:t>KYC</w:t>
            </w:r>
          </w:p>
        </w:tc>
        <w:tc>
          <w:tcPr>
            <w:tcW w:w="1907" w:type="dxa"/>
          </w:tcPr>
          <w:p w:rsidR="00A4794B" w:rsidRDefault="00A4794B" w:rsidP="00D17CD1">
            <w:pPr>
              <w:rPr>
                <w:lang w:val="fr-FR"/>
              </w:rPr>
            </w:pPr>
            <w:r>
              <w:rPr>
                <w:lang w:val="fr-FR"/>
              </w:rPr>
              <w:t>Convention de distribution</w:t>
            </w:r>
          </w:p>
        </w:tc>
        <w:tc>
          <w:tcPr>
            <w:tcW w:w="2034" w:type="dxa"/>
          </w:tcPr>
          <w:p w:rsidR="00A4794B" w:rsidRDefault="00A4794B" w:rsidP="00D17CD1">
            <w:pPr>
              <w:rPr>
                <w:lang w:val="fr-FR"/>
              </w:rPr>
            </w:pPr>
            <w:r>
              <w:rPr>
                <w:lang w:val="fr-FR"/>
              </w:rPr>
              <w:t>Centralisation</w:t>
            </w:r>
          </w:p>
        </w:tc>
      </w:tr>
      <w:tr w:rsidR="00A4794B" w:rsidTr="00A4794B">
        <w:tc>
          <w:tcPr>
            <w:tcW w:w="1462" w:type="dxa"/>
          </w:tcPr>
          <w:p w:rsidR="00A4794B" w:rsidRDefault="00A4794B" w:rsidP="00D17CD1">
            <w:pPr>
              <w:rPr>
                <w:lang w:val="fr-FR"/>
              </w:rPr>
            </w:pPr>
          </w:p>
        </w:tc>
        <w:tc>
          <w:tcPr>
            <w:tcW w:w="2068" w:type="dxa"/>
          </w:tcPr>
          <w:p w:rsidR="00A4794B" w:rsidRDefault="00A4794B" w:rsidP="00D17CD1">
            <w:pPr>
              <w:rPr>
                <w:lang w:val="fr-FR"/>
              </w:rPr>
            </w:pPr>
            <w:r>
              <w:rPr>
                <w:lang w:val="fr-FR"/>
              </w:rPr>
              <w:t>Agrément de distribution</w:t>
            </w:r>
          </w:p>
        </w:tc>
        <w:tc>
          <w:tcPr>
            <w:tcW w:w="1591" w:type="dxa"/>
          </w:tcPr>
          <w:p w:rsidR="00A4794B" w:rsidRDefault="00A4794B" w:rsidP="00D17CD1">
            <w:pPr>
              <w:rPr>
                <w:lang w:val="fr-FR"/>
              </w:rPr>
            </w:pPr>
            <w:proofErr w:type="spellStart"/>
            <w:r>
              <w:rPr>
                <w:lang w:val="fr-FR"/>
              </w:rPr>
              <w:t>Suitability</w:t>
            </w:r>
            <w:proofErr w:type="spellEnd"/>
          </w:p>
        </w:tc>
        <w:tc>
          <w:tcPr>
            <w:tcW w:w="1907" w:type="dxa"/>
          </w:tcPr>
          <w:p w:rsidR="00A4794B" w:rsidRDefault="00A4794B" w:rsidP="00D17CD1">
            <w:pPr>
              <w:rPr>
                <w:lang w:val="fr-FR"/>
              </w:rPr>
            </w:pPr>
            <w:r>
              <w:rPr>
                <w:lang w:val="fr-FR"/>
              </w:rPr>
              <w:t>Conseil indépendant</w:t>
            </w:r>
          </w:p>
        </w:tc>
        <w:tc>
          <w:tcPr>
            <w:tcW w:w="2034" w:type="dxa"/>
          </w:tcPr>
          <w:p w:rsidR="00A4794B" w:rsidRDefault="00A4794B" w:rsidP="00D17CD1">
            <w:pPr>
              <w:rPr>
                <w:lang w:val="fr-FR"/>
              </w:rPr>
            </w:pPr>
            <w:r>
              <w:rPr>
                <w:lang w:val="fr-FR"/>
              </w:rPr>
              <w:t>Tenue de registre émetteur</w:t>
            </w:r>
          </w:p>
        </w:tc>
      </w:tr>
      <w:tr w:rsidR="00A4794B" w:rsidTr="00A4794B">
        <w:tc>
          <w:tcPr>
            <w:tcW w:w="1462" w:type="dxa"/>
          </w:tcPr>
          <w:p w:rsidR="00A4794B" w:rsidRDefault="00A4794B" w:rsidP="00D17CD1">
            <w:pPr>
              <w:rPr>
                <w:lang w:val="fr-FR"/>
              </w:rPr>
            </w:pPr>
          </w:p>
        </w:tc>
        <w:tc>
          <w:tcPr>
            <w:tcW w:w="2068" w:type="dxa"/>
          </w:tcPr>
          <w:p w:rsidR="00A4794B" w:rsidRDefault="00A4794B" w:rsidP="00D17CD1">
            <w:pPr>
              <w:rPr>
                <w:lang w:val="fr-FR"/>
              </w:rPr>
            </w:pPr>
            <w:r>
              <w:rPr>
                <w:lang w:val="fr-FR"/>
              </w:rPr>
              <w:t>Novation</w:t>
            </w:r>
          </w:p>
        </w:tc>
        <w:tc>
          <w:tcPr>
            <w:tcW w:w="1591" w:type="dxa"/>
          </w:tcPr>
          <w:p w:rsidR="00A4794B" w:rsidRDefault="00A4794B" w:rsidP="00D17CD1">
            <w:pPr>
              <w:rPr>
                <w:lang w:val="fr-FR"/>
              </w:rPr>
            </w:pPr>
            <w:r>
              <w:rPr>
                <w:lang w:val="fr-FR"/>
              </w:rPr>
              <w:t>AML/CFT</w:t>
            </w:r>
          </w:p>
        </w:tc>
        <w:tc>
          <w:tcPr>
            <w:tcW w:w="1907" w:type="dxa"/>
          </w:tcPr>
          <w:p w:rsidR="00A4794B" w:rsidRDefault="00A4794B" w:rsidP="00D17CD1">
            <w:pPr>
              <w:rPr>
                <w:lang w:val="fr-FR"/>
              </w:rPr>
            </w:pPr>
            <w:r>
              <w:rPr>
                <w:lang w:val="fr-FR"/>
              </w:rPr>
              <w:t>Passage d'ordres</w:t>
            </w:r>
          </w:p>
        </w:tc>
        <w:tc>
          <w:tcPr>
            <w:tcW w:w="2034" w:type="dxa"/>
          </w:tcPr>
          <w:p w:rsidR="00A4794B" w:rsidRDefault="00A4794B" w:rsidP="00D17CD1">
            <w:pPr>
              <w:rPr>
                <w:lang w:val="fr-FR"/>
              </w:rPr>
            </w:pPr>
            <w:r>
              <w:rPr>
                <w:lang w:val="fr-FR"/>
              </w:rPr>
              <w:t>Convention dépositaire</w:t>
            </w:r>
          </w:p>
        </w:tc>
      </w:tr>
      <w:tr w:rsidR="00A4794B" w:rsidTr="00A4794B">
        <w:tc>
          <w:tcPr>
            <w:tcW w:w="1462" w:type="dxa"/>
          </w:tcPr>
          <w:p w:rsidR="00A4794B" w:rsidRDefault="00A4794B" w:rsidP="00D17CD1">
            <w:pPr>
              <w:rPr>
                <w:lang w:val="fr-FR"/>
              </w:rPr>
            </w:pPr>
          </w:p>
        </w:tc>
        <w:tc>
          <w:tcPr>
            <w:tcW w:w="2068" w:type="dxa"/>
          </w:tcPr>
          <w:p w:rsidR="00A4794B" w:rsidRDefault="00A4794B" w:rsidP="00D17CD1">
            <w:pPr>
              <w:rPr>
                <w:lang w:val="fr-FR"/>
              </w:rPr>
            </w:pPr>
            <w:r>
              <w:rPr>
                <w:lang w:val="fr-FR"/>
              </w:rPr>
              <w:t>Clôture</w:t>
            </w:r>
          </w:p>
        </w:tc>
        <w:tc>
          <w:tcPr>
            <w:tcW w:w="1591" w:type="dxa"/>
          </w:tcPr>
          <w:p w:rsidR="00A4794B" w:rsidRDefault="00A4794B" w:rsidP="00D17CD1">
            <w:pPr>
              <w:rPr>
                <w:lang w:val="fr-FR"/>
              </w:rPr>
            </w:pPr>
          </w:p>
        </w:tc>
        <w:tc>
          <w:tcPr>
            <w:tcW w:w="1907" w:type="dxa"/>
          </w:tcPr>
          <w:p w:rsidR="00A4794B" w:rsidRDefault="00A4794B" w:rsidP="00D17CD1">
            <w:pPr>
              <w:rPr>
                <w:lang w:val="fr-FR"/>
              </w:rPr>
            </w:pPr>
          </w:p>
        </w:tc>
        <w:tc>
          <w:tcPr>
            <w:tcW w:w="2034" w:type="dxa"/>
          </w:tcPr>
          <w:p w:rsidR="00A4794B" w:rsidRDefault="00A4794B" w:rsidP="00D17CD1">
            <w:pPr>
              <w:rPr>
                <w:lang w:val="fr-FR"/>
              </w:rPr>
            </w:pPr>
            <w:r>
              <w:rPr>
                <w:lang w:val="fr-FR"/>
              </w:rPr>
              <w:t>Règlement-livraison</w:t>
            </w:r>
          </w:p>
        </w:tc>
      </w:tr>
      <w:tr w:rsidR="00A4794B" w:rsidTr="00A4794B">
        <w:tc>
          <w:tcPr>
            <w:tcW w:w="1462" w:type="dxa"/>
          </w:tcPr>
          <w:p w:rsidR="00A4794B" w:rsidRDefault="00A4794B" w:rsidP="00D17CD1">
            <w:pPr>
              <w:rPr>
                <w:lang w:val="fr-FR"/>
              </w:rPr>
            </w:pPr>
          </w:p>
        </w:tc>
        <w:tc>
          <w:tcPr>
            <w:tcW w:w="2068" w:type="dxa"/>
          </w:tcPr>
          <w:p w:rsidR="00A4794B" w:rsidRDefault="00A4794B" w:rsidP="00D17CD1">
            <w:pPr>
              <w:rPr>
                <w:lang w:val="fr-FR"/>
              </w:rPr>
            </w:pPr>
            <w:r>
              <w:rPr>
                <w:lang w:val="fr-FR"/>
              </w:rPr>
              <w:t>Absorption</w:t>
            </w:r>
          </w:p>
        </w:tc>
        <w:tc>
          <w:tcPr>
            <w:tcW w:w="1591" w:type="dxa"/>
          </w:tcPr>
          <w:p w:rsidR="00A4794B" w:rsidRDefault="00A4794B" w:rsidP="00D17CD1">
            <w:pPr>
              <w:rPr>
                <w:lang w:val="fr-FR"/>
              </w:rPr>
            </w:pPr>
          </w:p>
        </w:tc>
        <w:tc>
          <w:tcPr>
            <w:tcW w:w="1907" w:type="dxa"/>
          </w:tcPr>
          <w:p w:rsidR="00A4794B" w:rsidRDefault="00A4794B" w:rsidP="00D17CD1">
            <w:pPr>
              <w:rPr>
                <w:lang w:val="fr-FR"/>
              </w:rPr>
            </w:pPr>
          </w:p>
        </w:tc>
        <w:tc>
          <w:tcPr>
            <w:tcW w:w="2034" w:type="dxa"/>
          </w:tcPr>
          <w:p w:rsidR="00A4794B" w:rsidRDefault="00A4794B" w:rsidP="00D17CD1">
            <w:pPr>
              <w:rPr>
                <w:lang w:val="fr-FR"/>
              </w:rPr>
            </w:pPr>
          </w:p>
        </w:tc>
      </w:tr>
    </w:tbl>
    <w:p w:rsidR="00D17CD1" w:rsidRPr="00D17CD1" w:rsidRDefault="00D17CD1" w:rsidP="00D17CD1">
      <w:pPr>
        <w:rPr>
          <w:lang w:val="fr-FR"/>
        </w:rPr>
      </w:pPr>
    </w:p>
    <w:p w:rsidR="00D17CD1" w:rsidRDefault="00D17CD1" w:rsidP="00D17CD1">
      <w:pPr>
        <w:rPr>
          <w:b/>
          <w:lang w:val="fr-FR"/>
        </w:rPr>
      </w:pPr>
      <w:r>
        <w:rPr>
          <w:b/>
          <w:lang w:val="fr-FR"/>
        </w:rPr>
        <w:t xml:space="preserve">TheFundsChain </w:t>
      </w:r>
      <w:proofErr w:type="spellStart"/>
      <w:r>
        <w:rPr>
          <w:b/>
          <w:lang w:val="fr-FR"/>
        </w:rPr>
        <w:t>Vnext</w:t>
      </w:r>
      <w:proofErr w:type="spellEnd"/>
      <w:r>
        <w:rPr>
          <w:b/>
          <w:lang w:val="fr-FR"/>
        </w:rPr>
        <w:t> : quelle cible</w:t>
      </w:r>
    </w:p>
    <w:p w:rsidR="00D17CD1" w:rsidRDefault="00D17CD1" w:rsidP="00D17CD1">
      <w:pPr>
        <w:rPr>
          <w:lang w:val="fr-FR"/>
        </w:rPr>
      </w:pPr>
      <w:r>
        <w:rPr>
          <w:lang w:val="fr-FR"/>
        </w:rPr>
        <w:t>Notre V1 déroule la chaîne de valeur du client vers l'administrateur. Autrement dit, nous couvrons les processus liés au passif des fonds.</w:t>
      </w:r>
      <w:r w:rsidR="00A4794B">
        <w:rPr>
          <w:lang w:val="fr-FR"/>
        </w:rPr>
        <w:t xml:space="preserve"> </w:t>
      </w:r>
      <w:r>
        <w:rPr>
          <w:lang w:val="fr-FR"/>
        </w:rPr>
        <w:t>Pour aller plus loin, et</w:t>
      </w:r>
    </w:p>
    <w:p w:rsidR="00D17CD1" w:rsidRPr="00D17CD1" w:rsidRDefault="00D17CD1" w:rsidP="00D17CD1">
      <w:pPr>
        <w:rPr>
          <w:lang w:val="fr-FR"/>
        </w:rPr>
      </w:pPr>
    </w:p>
    <w:p w:rsidR="00D17CD1" w:rsidRDefault="00D17CD1">
      <w:pPr>
        <w:rPr>
          <w:b/>
          <w:lang w:val="fr-FR"/>
        </w:rPr>
      </w:pPr>
      <w:r>
        <w:rPr>
          <w:b/>
          <w:lang w:val="fr-FR"/>
        </w:rPr>
        <w:br w:type="page"/>
      </w:r>
    </w:p>
    <w:p w:rsidR="00E01317" w:rsidRPr="00E01317" w:rsidRDefault="00E01317" w:rsidP="008D6154">
      <w:pPr>
        <w:jc w:val="both"/>
        <w:rPr>
          <w:lang w:val="fr-FR"/>
        </w:rPr>
      </w:pPr>
      <w:r w:rsidRPr="00E01317">
        <w:rPr>
          <w:b/>
          <w:lang w:val="fr-FR"/>
        </w:rPr>
        <w:lastRenderedPageBreak/>
        <w:t>Platform-As-A-Service (PaaS)</w:t>
      </w:r>
      <w:r>
        <w:rPr>
          <w:b/>
          <w:lang w:val="fr-FR"/>
        </w:rPr>
        <w:t> </w:t>
      </w:r>
      <w:r w:rsidRPr="00E01317">
        <w:rPr>
          <w:b/>
          <w:lang w:val="fr-FR"/>
        </w:rPr>
        <w:t>:</w:t>
      </w:r>
      <w:r w:rsidRPr="00E01317">
        <w:rPr>
          <w:lang w:val="fr-FR"/>
        </w:rPr>
        <w:t xml:space="preserve"> </w:t>
      </w:r>
      <w:r>
        <w:rPr>
          <w:lang w:val="fr-FR"/>
        </w:rPr>
        <w:t>TheFundsChain est une infrastructure opérée indépendamment, sans conflit d'intérêt avec les entreprises qui l'utilisent. Grâce au partage des données pertinentes, les processus métier sont rationalisés : chaque tâche n'est effectuée qu'une seule fois et non plus répétée par l'ensemble des acteurs. Il n'est désormais plus nécessaire de réconcilier les différentes vues d'une même situation maintenues par des acteurs multiples.</w:t>
      </w:r>
    </w:p>
    <w:p w:rsidR="00E01317" w:rsidRDefault="00992F71" w:rsidP="008D6154">
      <w:pPr>
        <w:jc w:val="both"/>
        <w:rPr>
          <w:lang w:val="fr-FR"/>
        </w:rPr>
      </w:pPr>
      <w:r>
        <w:rPr>
          <w:lang w:val="fr-FR"/>
        </w:rPr>
        <w:t>Le déploiement de produits sur TheFundsChain permet de déporter un grand nombre de processus métier non concurrentiels sur une infrastructure "cloud" privée, permettant de partager l'information entre partenaires sans la révéler aux concurrents.</w:t>
      </w:r>
    </w:p>
    <w:p w:rsidR="00992F71" w:rsidRDefault="00D17CD1" w:rsidP="008D6154">
      <w:pPr>
        <w:jc w:val="both"/>
        <w:rPr>
          <w:lang w:val="fr-FR"/>
        </w:rPr>
      </w:pPr>
      <w:r>
        <w:rPr>
          <w:lang w:val="fr-FR"/>
        </w:rPr>
        <w:t>Gestionnaires de fonds</w:t>
      </w:r>
      <w:r w:rsidR="00992F71">
        <w:rPr>
          <w:lang w:val="fr-FR"/>
        </w:rPr>
        <w:t xml:space="preserve"> et distributeu</w:t>
      </w:r>
      <w:r>
        <w:rPr>
          <w:lang w:val="fr-FR"/>
        </w:rPr>
        <w:t xml:space="preserve">rs voient ainsi leur propre organisation informatique amincie et davantage tournée vers leur cœur </w:t>
      </w:r>
      <w:r w:rsidR="00A4794B">
        <w:rPr>
          <w:lang w:val="fr-FR"/>
        </w:rPr>
        <w:t xml:space="preserve">de </w:t>
      </w:r>
      <w:r>
        <w:rPr>
          <w:lang w:val="fr-FR"/>
        </w:rPr>
        <w:t>métier</w:t>
      </w:r>
      <w:r w:rsidR="00A4794B">
        <w:rPr>
          <w:lang w:val="fr-FR"/>
        </w:rPr>
        <w:t> </w:t>
      </w:r>
      <w:r>
        <w:rPr>
          <w:lang w:val="fr-FR"/>
        </w:rPr>
        <w:t>: prendre les bonnes décisions de gestion, déterminer l'adéquation ente clients et produits.</w:t>
      </w:r>
    </w:p>
    <w:p w:rsidR="00992F71" w:rsidRDefault="00992F71" w:rsidP="008D6154">
      <w:pPr>
        <w:jc w:val="both"/>
        <w:rPr>
          <w:lang w:val="fr-FR"/>
        </w:rPr>
      </w:pPr>
      <w:r>
        <w:rPr>
          <w:lang w:val="fr-FR"/>
        </w:rPr>
        <w:t>Le choix d'une infrastructure indépendante permet de mettre en concurrence les différents prestataires de services. Il devient par exemple plus aisé de changer de prestataire ou de sélectionner des acteurs différents pour les différents services d'administration.</w:t>
      </w:r>
    </w:p>
    <w:p w:rsidR="00992F71" w:rsidRPr="00E01317" w:rsidRDefault="00992F71" w:rsidP="008D6154">
      <w:pPr>
        <w:jc w:val="both"/>
        <w:rPr>
          <w:lang w:val="fr-FR"/>
        </w:rPr>
      </w:pPr>
      <w:r w:rsidRPr="00A4794B">
        <w:rPr>
          <w:highlight w:val="yellow"/>
          <w:lang w:val="fr-FR"/>
        </w:rPr>
        <w:t>Pour les prestataires de services, TheFundsChain permet</w:t>
      </w:r>
      <w:r>
        <w:rPr>
          <w:lang w:val="fr-FR"/>
        </w:rPr>
        <w:t xml:space="preserve"> </w:t>
      </w:r>
    </w:p>
    <w:p w:rsidR="00992F71" w:rsidRDefault="00992F71">
      <w:pPr>
        <w:rPr>
          <w:b/>
          <w:lang w:val="fr-FR"/>
        </w:rPr>
      </w:pPr>
      <w:r>
        <w:rPr>
          <w:b/>
          <w:lang w:val="fr-FR"/>
        </w:rPr>
        <w:br w:type="page"/>
      </w:r>
    </w:p>
    <w:p w:rsidR="009305F4" w:rsidRDefault="00E01317" w:rsidP="008D6154">
      <w:pPr>
        <w:jc w:val="both"/>
        <w:rPr>
          <w:lang w:val="fr-FR"/>
        </w:rPr>
      </w:pPr>
      <w:r w:rsidRPr="00E01317">
        <w:rPr>
          <w:b/>
          <w:lang w:val="fr-FR"/>
        </w:rPr>
        <w:t>D</w:t>
      </w:r>
      <w:r w:rsidR="000006D9" w:rsidRPr="00E01317">
        <w:rPr>
          <w:b/>
          <w:lang w:val="fr-FR"/>
        </w:rPr>
        <w:t>istribution des</w:t>
      </w:r>
      <w:r w:rsidRPr="00E01317">
        <w:rPr>
          <w:b/>
          <w:lang w:val="fr-FR"/>
        </w:rPr>
        <w:t xml:space="preserve"> fonds</w:t>
      </w:r>
      <w:r>
        <w:rPr>
          <w:b/>
          <w:lang w:val="fr-FR"/>
        </w:rPr>
        <w:t> </w:t>
      </w:r>
      <w:r w:rsidRPr="00E01317">
        <w:rPr>
          <w:b/>
          <w:lang w:val="fr-FR"/>
        </w:rPr>
        <w:t>:</w:t>
      </w:r>
      <w:r>
        <w:rPr>
          <w:lang w:val="fr-FR"/>
        </w:rPr>
        <w:t xml:space="preserve"> efficacité et innovation.</w:t>
      </w:r>
    </w:p>
    <w:p w:rsidR="005601FC" w:rsidRDefault="00E01317" w:rsidP="008D6154">
      <w:pPr>
        <w:jc w:val="both"/>
        <w:rPr>
          <w:lang w:val="fr-FR"/>
        </w:rPr>
      </w:pPr>
      <w:r>
        <w:rPr>
          <w:lang w:val="fr-FR"/>
        </w:rPr>
        <w:t>TheFundsChain s'attache en premier lieu à rendre plus efficace les processus existants. La mise en place de conventions de distribution, le référencement des produits et les procédures d'identification des investisseurs sont ainsi simplif</w:t>
      </w:r>
      <w:r w:rsidR="005601FC">
        <w:rPr>
          <w:lang w:val="fr-FR"/>
        </w:rPr>
        <w:t>iées et largement automatisées.</w:t>
      </w:r>
    </w:p>
    <w:p w:rsidR="008D6154" w:rsidRDefault="005601FC" w:rsidP="008D6154">
      <w:pPr>
        <w:jc w:val="both"/>
        <w:rPr>
          <w:lang w:val="fr-FR"/>
        </w:rPr>
      </w:pPr>
      <w:r>
        <w:rPr>
          <w:lang w:val="fr-FR"/>
        </w:rPr>
        <w:t>TheFundsChain assure un niveau de confidentialité absolu, permettant à des acteurs concurrents d'opérer sur la même infrastructure, tout en partageant les informations souhaitables entre partenaires. Par exemple, les termes d'une convention de distribution restent privés aux signataires.</w:t>
      </w:r>
    </w:p>
    <w:p w:rsidR="005601FC" w:rsidRDefault="005601FC" w:rsidP="008D6154">
      <w:pPr>
        <w:jc w:val="both"/>
        <w:rPr>
          <w:lang w:val="fr-FR"/>
        </w:rPr>
      </w:pPr>
      <w:r>
        <w:rPr>
          <w:lang w:val="fr-FR"/>
        </w:rPr>
        <w:t>Par ailleurs, la maîtrise des flux et du registre des investisseurs apporte une précision inédite, autorisant l'automatisation complète de la rétribution des différents intermédiaires (distributeurs, conseillers indépendants, …).</w:t>
      </w:r>
    </w:p>
    <w:p w:rsidR="005601FC" w:rsidRDefault="005601FC" w:rsidP="008D6154">
      <w:pPr>
        <w:jc w:val="both"/>
        <w:rPr>
          <w:lang w:val="fr-FR"/>
        </w:rPr>
      </w:pPr>
      <w:r>
        <w:rPr>
          <w:lang w:val="fr-FR"/>
        </w:rPr>
        <w:t>TheFundsChain permet ainsi à un émetteur et des distributeurs de signer électroniquement des conventions de distribution, sous différentes modalités de facturation de frais (commissions sur ordres, rétrocessions).</w:t>
      </w:r>
    </w:p>
    <w:p w:rsidR="009305F4" w:rsidRDefault="005601FC" w:rsidP="008D6154">
      <w:pPr>
        <w:jc w:val="both"/>
        <w:rPr>
          <w:lang w:val="fr-FR"/>
        </w:rPr>
      </w:pPr>
      <w:r>
        <w:rPr>
          <w:lang w:val="fr-FR"/>
        </w:rPr>
        <w:t>L'innovation réside dans la capacité qu'apporte la technologie à inclure, de façon contrôlée, de nouveaux acteurs dans la chaîne de val</w:t>
      </w:r>
      <w:r w:rsidR="009305F4">
        <w:rPr>
          <w:lang w:val="fr-FR"/>
        </w:rPr>
        <w:t>eur, tout en garantissant l'exécution rigoureuse et transparente des termes de rémunération des différents services.</w:t>
      </w:r>
    </w:p>
    <w:p w:rsidR="00A4794B" w:rsidRDefault="005601FC" w:rsidP="008D6154">
      <w:pPr>
        <w:jc w:val="both"/>
        <w:rPr>
          <w:lang w:val="fr-FR"/>
        </w:rPr>
      </w:pPr>
      <w:r>
        <w:rPr>
          <w:lang w:val="fr-FR"/>
        </w:rPr>
        <w:t>On peut ai</w:t>
      </w:r>
      <w:r w:rsidR="009305F4">
        <w:rPr>
          <w:lang w:val="fr-FR"/>
        </w:rPr>
        <w:t>nsi imaginer un</w:t>
      </w:r>
      <w:r>
        <w:rPr>
          <w:lang w:val="fr-FR"/>
        </w:rPr>
        <w:t xml:space="preserve"> distributeur fédérant les services de multiples conseillers indépendants, éventuellement eux-mêmes automatisés.</w:t>
      </w:r>
    </w:p>
    <w:p w:rsidR="009305F4" w:rsidRDefault="009305F4" w:rsidP="008D6154">
      <w:pPr>
        <w:jc w:val="both"/>
        <w:rPr>
          <w:lang w:val="fr-FR"/>
        </w:rPr>
      </w:pPr>
      <w:r>
        <w:rPr>
          <w:lang w:val="fr-FR"/>
        </w:rPr>
        <w:t xml:space="preserve">TheFundsChain permet </w:t>
      </w:r>
      <w:r w:rsidR="00A4794B">
        <w:rPr>
          <w:lang w:val="fr-FR"/>
        </w:rPr>
        <w:t xml:space="preserve">de déployer </w:t>
      </w:r>
      <w:r>
        <w:rPr>
          <w:lang w:val="fr-FR"/>
        </w:rPr>
        <w:t>une grande diversité de configurations commerciale</w:t>
      </w:r>
      <w:r w:rsidR="00992F71">
        <w:rPr>
          <w:lang w:val="fr-FR"/>
        </w:rPr>
        <w:t>s</w:t>
      </w:r>
      <w:r>
        <w:rPr>
          <w:lang w:val="fr-FR"/>
        </w:rPr>
        <w:t>. L'investisseur pourrait par exemple choisir librement un conseiller, puis un distributeur assurant l'exécution. La notion de conseil peut aussi se décliner de façon plus spécialisée : allocation, sélection de fonds…</w:t>
      </w:r>
    </w:p>
    <w:p w:rsidR="009305F4" w:rsidRDefault="009305F4" w:rsidP="008D6154">
      <w:pPr>
        <w:jc w:val="both"/>
        <w:rPr>
          <w:lang w:val="fr-FR"/>
        </w:rPr>
      </w:pPr>
      <w:r>
        <w:rPr>
          <w:lang w:val="fr-FR"/>
        </w:rPr>
        <w:t>TheFundsChain permet ainsi à des acteurs Fintech indépendants de développer un véritable business model avec un accès direct ou indirect aux investisseurs.</w:t>
      </w:r>
    </w:p>
    <w:p w:rsidR="009305F4" w:rsidRDefault="009305F4" w:rsidP="008D6154">
      <w:pPr>
        <w:jc w:val="both"/>
        <w:rPr>
          <w:lang w:val="fr-FR"/>
        </w:rPr>
      </w:pPr>
    </w:p>
    <w:p w:rsidR="009305F4" w:rsidRPr="00992F71" w:rsidRDefault="00992F71" w:rsidP="008D6154">
      <w:pPr>
        <w:jc w:val="both"/>
        <w:rPr>
          <w:b/>
          <w:lang w:val="fr-FR"/>
        </w:rPr>
      </w:pPr>
      <w:r w:rsidRPr="00992F71">
        <w:rPr>
          <w:b/>
          <w:lang w:val="fr-FR"/>
        </w:rPr>
        <w:t>TheFundsChain</w:t>
      </w:r>
      <w:r>
        <w:rPr>
          <w:b/>
          <w:lang w:val="fr-FR"/>
        </w:rPr>
        <w:t> </w:t>
      </w:r>
      <w:r w:rsidRPr="00992F71">
        <w:rPr>
          <w:b/>
          <w:lang w:val="fr-FR"/>
        </w:rPr>
        <w:t>: démocratisation des services de gestion personnalisée</w:t>
      </w:r>
    </w:p>
    <w:p w:rsidR="00992F71" w:rsidRDefault="00992F71" w:rsidP="008D6154">
      <w:pPr>
        <w:jc w:val="both"/>
        <w:rPr>
          <w:lang w:val="fr-FR"/>
        </w:rPr>
      </w:pPr>
    </w:p>
    <w:p w:rsidR="009305F4" w:rsidRDefault="009305F4" w:rsidP="008D6154">
      <w:pPr>
        <w:jc w:val="both"/>
        <w:rPr>
          <w:lang w:val="fr-FR"/>
        </w:rPr>
      </w:pPr>
    </w:p>
    <w:p w:rsidR="008D6154" w:rsidRPr="008D6154" w:rsidRDefault="008D6154" w:rsidP="008D6154">
      <w:pPr>
        <w:jc w:val="both"/>
        <w:rPr>
          <w:lang w:val="fr-FR"/>
        </w:rPr>
      </w:pPr>
    </w:p>
    <w:sectPr w:rsidR="008D6154" w:rsidRPr="008D6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33619"/>
    <w:multiLevelType w:val="hybridMultilevel"/>
    <w:tmpl w:val="8C8EC95A"/>
    <w:lvl w:ilvl="0" w:tplc="BF1895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4"/>
    <w:rsid w:val="000006D9"/>
    <w:rsid w:val="00032003"/>
    <w:rsid w:val="0037388F"/>
    <w:rsid w:val="005601FC"/>
    <w:rsid w:val="00602254"/>
    <w:rsid w:val="00655954"/>
    <w:rsid w:val="007D5203"/>
    <w:rsid w:val="008D6154"/>
    <w:rsid w:val="009305F4"/>
    <w:rsid w:val="00992F71"/>
    <w:rsid w:val="00A4794B"/>
    <w:rsid w:val="00AF33DA"/>
    <w:rsid w:val="00B41B5D"/>
    <w:rsid w:val="00C87434"/>
    <w:rsid w:val="00D17CD1"/>
    <w:rsid w:val="00DC4AAA"/>
    <w:rsid w:val="00E01317"/>
    <w:rsid w:val="00E31B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6EA7"/>
  <w15:chartTrackingRefBased/>
  <w15:docId w15:val="{3F0E260B-F447-4B85-8BA1-92CB46CA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05F4"/>
    <w:pPr>
      <w:ind w:left="720"/>
      <w:contextualSpacing/>
    </w:pPr>
  </w:style>
  <w:style w:type="table" w:styleId="Grilledutableau">
    <w:name w:val="Table Grid"/>
    <w:basedOn w:val="TableauNormal"/>
    <w:uiPriority w:val="39"/>
    <w:rsid w:val="00D17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10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734</Words>
  <Characters>4042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6</cp:revision>
  <dcterms:created xsi:type="dcterms:W3CDTF">2017-07-23T15:15:00Z</dcterms:created>
  <dcterms:modified xsi:type="dcterms:W3CDTF">2017-07-23T20:51:00Z</dcterms:modified>
</cp:coreProperties>
</file>