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C1821" w14:textId="3E318233" w:rsidR="006401BE" w:rsidRDefault="0038556D">
      <w:pPr>
        <w:pStyle w:val="Title"/>
        <w:rPr>
          <w:lang w:eastAsia="zh-CN"/>
        </w:rPr>
      </w:pPr>
      <w:r w:rsidRPr="0038556D">
        <w:rPr>
          <w:b/>
        </w:rPr>
        <w:t>A Vertically Resolved, Lifecycle-Based Diagnostic Framework: A Data-Driven Approach to Monsoon Rainfall Processes</w:t>
      </w:r>
    </w:p>
    <w:p w14:paraId="021697B0" w14:textId="0441F295" w:rsidR="006401BE" w:rsidRDefault="0038556D">
      <w:r>
        <w:t>Moufeng Wan</w:t>
      </w:r>
      <w:r w:rsidRPr="00FD1961">
        <w:rPr>
          <w:vertAlign w:val="superscript"/>
        </w:rPr>
        <w:t>1</w:t>
      </w:r>
      <w:r>
        <w:t>, Hui Su</w:t>
      </w:r>
      <w:r w:rsidRPr="00FD1961">
        <w:rPr>
          <w:vertAlign w:val="superscript"/>
        </w:rPr>
        <w:t>1</w:t>
      </w:r>
      <w:r>
        <w:t>, and Pak Wai Chan</w:t>
      </w:r>
      <w:r w:rsidRPr="00FD1961">
        <w:rPr>
          <w:vertAlign w:val="superscript"/>
        </w:rPr>
        <w:t>2</w:t>
      </w:r>
    </w:p>
    <w:p w14:paraId="58C1C663" w14:textId="4160E193" w:rsidR="0038556D" w:rsidRDefault="005C5D5D">
      <w:r>
        <w:t>1</w:t>
      </w:r>
      <w:r w:rsidR="0038556D" w:rsidRPr="0038556D">
        <w:t xml:space="preserve"> Department of Civil and Environmental Engineering, The Hong Kong University of Science and Technology, Clear Water Bay, Hong Kong, China</w:t>
      </w:r>
      <w:r w:rsidR="0038556D" w:rsidRPr="0038556D" w:rsidDel="0038556D">
        <w:t xml:space="preserve"> </w:t>
      </w:r>
    </w:p>
    <w:p w14:paraId="67632748" w14:textId="5BBAA033" w:rsidR="0038556D" w:rsidRDefault="005C5D5D">
      <w:r>
        <w:t>2</w:t>
      </w:r>
      <w:r w:rsidR="0038556D" w:rsidRPr="0038556D">
        <w:t xml:space="preserve"> Hong Kong Observatory, Kowloon, Hong Kong, China</w:t>
      </w:r>
      <w:r w:rsidR="0038556D" w:rsidRPr="0038556D" w:rsidDel="0038556D">
        <w:t xml:space="preserve"> </w:t>
      </w:r>
    </w:p>
    <w:p w14:paraId="0831A3DC" w14:textId="296413C5" w:rsidR="006401BE" w:rsidRDefault="005C5D5D">
      <w:r>
        <w:t xml:space="preserve">Corresponding author: </w:t>
      </w:r>
      <w:r w:rsidR="0038556D" w:rsidRPr="0038556D">
        <w:t xml:space="preserve">Hui </w:t>
      </w:r>
      <w:proofErr w:type="spellStart"/>
      <w:r w:rsidR="0038556D" w:rsidRPr="0038556D">
        <w:t>Su</w:t>
      </w:r>
      <w:proofErr w:type="spellEnd"/>
      <w:r w:rsidR="0038556D" w:rsidRPr="0038556D">
        <w:t xml:space="preserve"> (cehsu@ust.hk) </w:t>
      </w:r>
    </w:p>
    <w:p w14:paraId="6ADA1ABD" w14:textId="74353EDE" w:rsidR="00E17479" w:rsidRPr="00957213" w:rsidRDefault="005C5D5D">
      <w:r>
        <w:t xml:space="preserve">Keywords: </w:t>
      </w:r>
      <w:r w:rsidR="00032363" w:rsidRPr="00032363">
        <w:t xml:space="preserve">Integrated Relative Humidity; </w:t>
      </w:r>
      <w:r w:rsidR="0061425D">
        <w:t>P</w:t>
      </w:r>
      <w:r w:rsidR="00032363" w:rsidRPr="00032363">
        <w:t xml:space="preserve">recipitation lifecycle; </w:t>
      </w:r>
      <w:r w:rsidR="0061425D">
        <w:t>C</w:t>
      </w:r>
      <w:r w:rsidR="00032363" w:rsidRPr="00032363">
        <w:t xml:space="preserve">onvective organization; </w:t>
      </w:r>
      <w:r w:rsidR="0061425D">
        <w:t>M</w:t>
      </w:r>
      <w:r w:rsidR="00032363" w:rsidRPr="00032363">
        <w:t xml:space="preserve">onsoon rainfall; </w:t>
      </w:r>
      <w:r w:rsidR="0061425D">
        <w:t>S</w:t>
      </w:r>
      <w:r w:rsidR="00032363" w:rsidRPr="00032363">
        <w:t>tate-space contraction</w:t>
      </w:r>
      <w:r w:rsidR="00032363" w:rsidRPr="00032363" w:rsidDel="00032363">
        <w:t xml:space="preserve"> </w:t>
      </w:r>
      <w:r w:rsidR="00E17479">
        <w:br w:type="page"/>
      </w:r>
    </w:p>
    <w:p w14:paraId="4C40B979" w14:textId="77777777" w:rsidR="006401BE" w:rsidRDefault="005C5D5D">
      <w:pPr>
        <w:pStyle w:val="Heading1"/>
      </w:pPr>
      <w:r>
        <w:lastRenderedPageBreak/>
        <w:t>1 Introduction and objectives</w:t>
      </w:r>
    </w:p>
    <w:p w14:paraId="61120A5F" w14:textId="462CDC1F" w:rsidR="00032363" w:rsidRDefault="00032363" w:rsidP="00032363">
      <w:r>
        <w:t>Monsoon rainfall prediction remains challeng</w:t>
      </w:r>
      <w:r w:rsidR="00012B98">
        <w:t>ing</w:t>
      </w:r>
      <w:r>
        <w:t xml:space="preserve">, </w:t>
      </w:r>
      <w:r w:rsidR="00645029">
        <w:t>especially</w:t>
      </w:r>
      <w:r>
        <w:t xml:space="preserve"> for heavy and extreme events that cause flooding. Traditional column‑integrated moisture metrics </w:t>
      </w:r>
      <w:r w:rsidR="00645029">
        <w:t>(</w:t>
      </w:r>
      <w:r>
        <w:t>column water vapor or column relative humidity</w:t>
      </w:r>
      <w:r w:rsidR="00645029">
        <w:t xml:space="preserve">) </w:t>
      </w:r>
      <w:r>
        <w:t>obscure the vertical humidity structure that governs whether convection remains shallow or develops into deep</w:t>
      </w:r>
      <w:r w:rsidR="00012B98">
        <w:t xml:space="preserve"> and</w:t>
      </w:r>
      <w:r>
        <w:t xml:space="preserve"> organized. </w:t>
      </w:r>
      <w:r w:rsidR="00645029">
        <w:t>M</w:t>
      </w:r>
      <w:r>
        <w:t>id‑tropospheric dryness can suppress deep convection regardless of boundary‑layer moisture</w:t>
      </w:r>
      <w:r w:rsidR="00B50138">
        <w:rPr>
          <w:rFonts w:hint="eastAsia"/>
          <w:lang w:eastAsia="zh-CN"/>
        </w:rPr>
        <w:t xml:space="preserve"> </w:t>
      </w:r>
      <w:sdt>
        <w:sdtPr>
          <w:rPr>
            <w:rFonts w:ascii="Cambria" w:hAnsi="Cambria" w:hint="eastAsia"/>
            <w:color w:val="000000"/>
            <w:lang w:eastAsia="zh-CN"/>
          </w:rPr>
          <w:tag w:val="MENDELEY_CITATION_v3_eyJjaXRhdGlvbklEIjoiTUVOREVMRVlfQ0lUQVRJT05fZDJkODY3MWQtNmY2My00ZTlkLTk3YWQtZTdmNjEzOGJiNTI2IiwicHJvcGVydGllcyI6eyJub3RlSW5kZXgiOjB9LCJpc0VkaXRlZCI6ZmFsc2UsIm1hbnVhbE92ZXJyaWRlIjp7ImlzTWFudWFsbHlPdmVycmlkZGVuIjpmYWxzZSwiY2l0ZXByb2NUZXh0IjoiKERlcmJ5c2hpcmUgZXQgYWwuLCAyMDA0OyBIb2xsb3dheSAmIzM4OyBOZWVsaW4sIDIwMDkpIiwibWFudWFsT3ZlcnJpZGVUZXh0IjoiIn0sImNpdGF0aW9uSXRlbXMiOlt7ImlkIjoiMDU1MWU3MTUtN2FkMS0zN2I3LTgyOTMtYmU0MGU5ZjA3ZDFlIiwiaXRlbURhdGEiOnsidHlwZSI6ImFydGljbGUtam91cm5hbCIsImlkIjoiMDU1MWU3MTUtN2FkMS0zN2I3LTgyOTMtYmU0MGU5ZjA3ZDFlIiwidGl0bGUiOiJNb2lzdHVyZSBWZXJ0aWNhbCBTdHJ1Y3R1cmUsIENvbHVtbiBXYXRlciBWYXBvciwgYW5kIFRyb3BpY2FsIERlZXAgQ29udmVjdGlvbiIsImF1dGhvciI6W3siZmFtaWx5IjoiSG9sbG93YXkiLCJnaXZlbiI6IkNocmlzdG9waGVyIEUuIiwicGFyc2UtbmFtZXMiOmZhbHNlLCJkcm9wcGluZy1wYXJ0aWNsZSI6IiIsIm5vbi1kcm9wcGluZy1wYXJ0aWNsZSI6IiJ9LHsiZmFtaWx5IjoiTmVlbGluIiwiZ2l2ZW4iOiJKLiBEYXZpZCIsInBhcnNlLW5hbWVzIjpmYWxzZSwiZHJvcHBpbmctcGFydGljbGUiOiIiLCJub24tZHJvcHBpbmctcGFydGljbGUiOiIifV0sImNvbnRhaW5lci10aXRsZSI6IkpvdXJuYWwgb2YgdGhlIEF0bW9zcGhlcmljIFNjaWVuY2VzIiwiY29udGFpbmVyLXRpdGxlLXNob3J0IjoiSi4gQXRtb3MuIFNjaS4iLCJET0kiOiIxMC4xMTc1LzIwMDhKQVMyODA2LjEiLCJJU1NOIjoiMTUyMC0wNDY5IiwiVVJMIjoiaHR0cHM6Ly9qb3VybmFscy5hbWV0c29jLm9yZy9kb2kvMTAuMTE3NS8yMDA4SkFTMjgwNi4xIiwiaXNzdWVkIjp7ImRhdGUtcGFydHMiOltbMjAwOSw2LDFdXX0sInBhZ2UiOiIxNjY1LTE2ODMiLCJhYnN0cmFjdCI6IjxwPlRoZSB2ZXJ0aWNhbCBzdHJ1Y3R1cmUgb2YgdGhlIHJlbGF0aW9uc2hpcCBiZXR3ZWVuIHdhdGVyIHZhcG9yIGFuZCBwcmVjaXBpdGF0aW9uIGlzIGFuYWx5emVkIGluIDUgeXIgb2YgcmFkaW9zb25kZSBhbmQgcHJlY2lwaXRhdGlvbiBnYXVnZSBkYXRhIGZyb20gdGhlIE5hdXJ1IEF0bW9zcGhlcmljIFJhZGlhdGlvbiBNZWFzdXJlbWVudCAoQVJNKSBzaXRlLiBUaGUgZmlyc3QgdmVydGljYWwgcHJpbmNpcGFsIGNvbXBvbmVudCBvZiBzcGVjaWZpYyBodW1pZGl0eSBpcyB2ZXJ5IGhpZ2hseSBjb3JyZWxhdGVkIHdpdGggY29sdW1uIHdhdGVyIHZhcG9yIChDV1YpIGFuZCBoYXMgYSBtYXhpbXVtIG9mIGJvdGggdG90YWwgYW5kIGZyYWN0aW9uYWwgdmFyaWFuY2UgY2FwdHVyZWQgaW4gdGhlIGxvd2VyIGZyZWUgdHJvcG9zcGhlcmUgKGFyb3VuZCA4MDAgaFBhKS4gTW9pc3R1cmUgcHJvZmlsZXMgY29uZGl0aW9uYWxseSBhdmVyYWdlZCBvbiBwcmVjaXBpdGF0aW9uIHNob3cgYSBzdHJvbmcgYXNzb2NpYXRpb24gYmV0d2VlbiByYWluZmFsbCBhbmQgbW9pc3R1cmUgdmFyaWFiaWxpdHkgaW4gdGhlIGZyZWUgdHJvcG9zcGhlcmUgYW5kIGxpdHRsZSBib3VuZGFyeSBsYXllciB2YXJpYWJpbGl0eS4gQSBzaGFycCBwaWNrdXAgaW4gcHJlY2lwaXRhdGlvbiBvY2N1cnMgbmVhciBhIGNyaXRpY2FsIHZhbHVlIG9mIENXViwgY29uZmlybWluZyBzYXRlbGxpdGUtYmFzZWQgc3R1ZGllcy4gQSBsYWfigJNsZWFkIGFuYWx5c2lzIHN1Z2dlc3RzIGl0IGlzIHVubGlrZWx5IHRoYXQgdGhlIGluY3JlYXNlIGluIHdhdGVyIHZhcG9yIGlzIGp1c3QgYSByZXN1bHQgb2YgdGhlIGZhbGxpbmcgcHJlY2lwaXRhdGlvbi4gVG8gaW52ZXN0aWdhdGUgbWVjaGFuaXNtcyBmb3IgdGhlIENXVuKAk3ByZWNpcGl0YXRpb24gcmVsYXRpb25zaGlwLCBlbnRyYWluaW5nIHBsdW1lIGJ1b3lhbmN5IGlzIGV4YW1pbmVkIGluIHNvbmRlIGRhdGEgYW5kIHNpbXBsaWZpZWQgY2FzZXMuIEZvciBzZXZlcmFsIGRpZmZlcmVudCBtaXhpbmcgc2NoZW1lcywgaGlnaGVyIENXViByZXN1bHRzIGluIHByb2dyZXNzaXZlbHkgZ3JlYXRlciBwbHVtZSBidW95YW5jaWVzLCBwYXJ0aWN1bGFybHkgaW4gdGhlIHVwcGVyIHRyb3Bvc3BoZXJlLCBpbmRpY2F0aW5nIGNvbmRpdGlvbnMgZmF2b3JhYmxlIGZvciBkZWVwIGNvbnZlY3Rpb24uIEFsbCBvdGhlciB0aGluZ3MgYmVpbmcgZXF1YWwsIGhpZ2hlciB2YWx1ZXMgb2YgbG93ZXItdHJvcG9zcGhlcmljIGh1bWlkaXR5LCB2aWEgZW50cmFpbm1lbnQsIHBsYXkgYSBtYWpvciByb2xlIGluIHRoaXMgYnVveWFuY3kgaW5jcmVhc2UuIEEgc21hbGwgYnV0IHNpZ25pZmljYW50IGluY3JlYXNlIGluIHN1YmNsb3VkIGxheWVyIG1vaXN0dXJlIHdpdGggaW5jcmVhc2luZyBDV1YgYWxzbyBjb250cmlidXRlcyB0byBidW95YW5jeS4gRW50cmFpbm1lbnQgY29lZmZpY2llbnRzIGludmVyc2VseSBwcm9wb3J0aW9uYWwgdG8gZGlzdGFuY2UgZnJvbSB0aGUgc3VyZmFjZSwgYXNzb2NpYXRlZCB3aXRoIG1hc3MgZmx1eCBpbmNyZWFzZSB0aHJvdWdoIGEgZGVlcCBsb3dlci10cm9wb3NwaGVyaWMgbGF5ZXIsIGFwcGVhciBwcm9taXNpbmcuIFRoZXNlIHlpZWxkIGEgcmVsYXRpdmVseSBldmVuIHdlaWdodGluZyB0aHJvdWdoIHRoZSBsb3dlciB0cm9wb3NwaGVyZSBmb3IgdGhlIGNvbnRyaWJ1dGlvbiBvZiBlbnZpcm9ubWVudGFsIHdhdGVyIHZhcG9yIHRvIG1pZHRyb3Bvc3BoZXJpYyBidW95YW5jeSwgZXhwbGFpbmluZyB0aGUgYXNzb2NpYXRpb24gb2YgQ1dWIGFuZCBidW95YW5jeSBhdmFpbGFibGUgZm9yIGRlZXAgY29udmVjdGlvbi48L3A+IiwiaXNzdWUiOiI2Iiwidm9sdW1lIjoiNjYifSwiaXNUZW1wb3JhcnkiOmZhbHNlfSx7ImlkIjoiZjZmZGY5YjMtN2NhOS0zZWZlLWI3ZGItZWE5Y2ZhNjM1NGU3IiwiaXRlbURhdGEiOnsidHlwZSI6ImFydGljbGUtam91cm5hbCIsImlkIjoiZjZmZGY5YjMtN2NhOS0zZWZlLWI3ZGItZWE5Y2ZhNjM1NGU3IiwidGl0bGUiOiJTZW5zaXRpdml0eSBvZiBtb2lzdCBjb252ZWN0aW9uIHRvIGVudmlyb25tZW50YWwgaHVtaWRpdHkiLCJhdXRob3IiOlt7ImZhbWlseSI6IkRlcmJ5c2hpcmUiLCJnaXZlbiI6IlMuIEguIiwicGFyc2UtbmFtZXMiOmZhbHNlLCJkcm9wcGluZy1wYXJ0aWNsZSI6IiIsIm5vbi1kcm9wcGluZy1wYXJ0aWNsZSI6IiJ9LHsiZmFtaWx5IjoiQmVhdSIsImdpdmVuIjoiSS4iLCJwYXJzZS1uYW1lcyI6ZmFsc2UsImRyb3BwaW5nLXBhcnRpY2xlIjoiIiwibm9uLWRyb3BwaW5nLXBhcnRpY2xlIjoiIn0seyJmYW1pbHkiOiJCZWNodG9sZCIsImdpdmVuIjoiUC4iLCJwYXJzZS1uYW1lcyI6ZmFsc2UsImRyb3BwaW5nLXBhcnRpY2xlIjoiIiwibm9uLWRyb3BwaW5nLXBhcnRpY2xlIjoiIn0seyJmYW1pbHkiOiJHcmFuZHBlaXgiLCJnaXZlbiI6Ikou4oCQWS4iLCJwYXJzZS1uYW1lcyI6ZmFsc2UsImRyb3BwaW5nLXBhcnRpY2xlIjoiIiwibm9uLWRyb3BwaW5nLXBhcnRpY2xlIjoiIn0seyJmYW1pbHkiOiJQaXJpb3UiLCJnaXZlbiI6Ikou4oCQTS4iLCJwYXJzZS1uYW1lcyI6ZmFsc2UsImRyb3BwaW5nLXBhcnRpY2xlIjoiIiwibm9uLWRyb3BwaW5nLXBhcnRpY2xlIjoiIn0seyJmYW1pbHkiOiJSZWRlbHNwZXJnZXIiLCJnaXZlbiI6Ikou4oCQTC4iLCJwYXJzZS1uYW1lcyI6ZmFsc2UsImRyb3BwaW5nLXBhcnRpY2xlIjoiIiwibm9uLWRyb3BwaW5nLXBhcnRpY2xlIjoiIn0seyJmYW1pbHkiOiJTb2FyZXMiLCJnaXZlbiI6IlAuIE0uIE0uIiwicGFyc2UtbmFtZXMiOmZhbHNlLCJkcm9wcGluZy1wYXJ0aWNsZSI6IiIsIm5vbi1kcm9wcGluZy1wYXJ0aWNsZSI6IiJ9XSwiY29udGFpbmVyLXRpdGxlIjoiUXVhcnRlcmx5IEpvdXJuYWwgb2YgdGhlIFJveWFsIE1ldGVvcm9sb2dpY2FsIFNvY2lldHkiLCJET0kiOiIxMC4xMjU2L3FqLjAzLjEzMCIsIklTU04iOiIwMDM1LTkwMDkiLCJVUkwiOiJodHRwczovL3JtZXRzLm9ubGluZWxpYnJhcnkud2lsZXkuY29tL2RvaS8xMC4xMjU2L3FqLjAzLjEzMCIsImlzc3VlZCI6eyJkYXRlLXBhcnRzIjpbWzIwMDQsMTAsMjldXX0sInBhZ2UiOiIzMDU1LTMwNzkiLCJhYnN0cmFjdCI6IjxwPkFzIHBhcnQgb2YgdGhlIEVVUk9DUyAoRVVST3BlYW4gQ2xvdWQgU3lzdGVtcyBzdHVkeSkgcHJvamVjdCwgY2xvdWTigJByZXNvbHZpbmcgbW9kZWwgKENSTSkgc2ltdWxhdGlvbnMgYW5kIHBhcmFsbGVsIHNpbmdsZeKAkGNvbHVtbiBtb2RlbCAoU0NNKSB0ZXN0cyBvZiB0aGUgc2Vuc2l0aXZpdHkgb2YgbW9pc3QgYXRtb3NwaGVyaWMgY29udmVjdGlvbiB0byBtaWR0cm9wb3NwaGVyaWMgaHVtaWRpdHkgYXJlIHByZXNlbnRlZC4gVGhpcyBzZW5zaXRpdml0eSBpcyBicm9hZGx5IHN1cHBvcnRlZCBieSBvYnNlcnZhdGlvbnMgYW5kIHNvbWUgcHJldmlvdXMgbW9kZWwgc3R1ZGllcywgYnV0IGlzIHN0aWxsIHBvb3JseSBxdWFudGlmaWVkLiBNaXhpbmcgYmV0d2VlbiBjbG91ZHMgYW5kIGVudmlyb25tZW50IGlzIGEga2V5IG1lY2hhbmlzbSwgY2VudHJhbCB0byBtYW55IG9mIHRoZSBmdW5kYW1lbnRhbCBkaWZmZXJlbmNlcyBiZXR3ZWVuIGNvbnZlY3Rpb24gc2NoZW1lcy48L3A+IiwiaXNzdWUiOiI2MDQiLCJ2b2x1bWUiOiIxMzAiLCJjb250YWluZXItdGl0bGUtc2hvcnQiOiIifSwiaXNUZW1wb3JhcnkiOmZhbHNlfV19"/>
          <w:id w:val="-1855489995"/>
          <w:placeholder>
            <w:docPart w:val="DefaultPlaceholder_-1854013440"/>
          </w:placeholder>
        </w:sdtPr>
        <w:sdtContent>
          <w:r w:rsidR="00B50138" w:rsidRPr="00B50138">
            <w:rPr>
              <w:rFonts w:ascii="Cambria" w:eastAsia="Times New Roman" w:hAnsi="Cambria"/>
              <w:color w:val="000000"/>
            </w:rPr>
            <w:t xml:space="preserve">(Derbyshire et al., 2004; Holloway &amp; </w:t>
          </w:r>
          <w:proofErr w:type="spellStart"/>
          <w:r w:rsidR="00B50138" w:rsidRPr="00B50138">
            <w:rPr>
              <w:rFonts w:ascii="Cambria" w:eastAsia="Times New Roman" w:hAnsi="Cambria"/>
              <w:color w:val="000000"/>
            </w:rPr>
            <w:t>Neelin</w:t>
          </w:r>
          <w:proofErr w:type="spellEnd"/>
          <w:r w:rsidR="00B50138" w:rsidRPr="00B50138">
            <w:rPr>
              <w:rFonts w:ascii="Cambria" w:eastAsia="Times New Roman" w:hAnsi="Cambria"/>
              <w:color w:val="000000"/>
            </w:rPr>
            <w:t>, 2009)</w:t>
          </w:r>
        </w:sdtContent>
      </w:sdt>
      <w:r>
        <w:t>, yet most operational frameworks do not resolve this vertical control.</w:t>
      </w:r>
      <w:r w:rsidR="005F3994">
        <w:t xml:space="preserve"> </w:t>
      </w:r>
      <w:r w:rsidR="00C87A71" w:rsidRPr="00C87A71">
        <w:t>The importance of vertical moisture structure for convection has been further quantified through entrainment</w:t>
      </w:r>
      <w:r w:rsidR="00C87A71" w:rsidRPr="00C87A71">
        <w:noBreakHyphen/>
        <w:t>based frameworks</w:t>
      </w:r>
      <w:r w:rsidR="00A576A6">
        <w:t xml:space="preserve"> </w:t>
      </w:r>
      <w:sdt>
        <w:sdtPr>
          <w:rPr>
            <w:rFonts w:ascii="Cambria" w:hAnsi="Cambria"/>
            <w:color w:val="000000"/>
          </w:rPr>
          <w:tag w:val="MENDELEY_CITATION_v3_eyJjaXRhdGlvbklEIjoiTUVOREVMRVlfQ0lUQVRJT05fMzg5ZjVhNWEtNmE3ZS00MGQyLWJhNmQtMThhNTQyOGJjNjgwIiwicHJvcGVydGllcyI6eyJub3RlSW5kZXgiOjB9LCJpc0VkaXRlZCI6ZmFsc2UsIm1hbnVhbE92ZXJyaWRlIjp7ImlzTWFudWFsbHlPdmVycmlkZGVuIjpmYWxzZSwiY2l0ZXByb2NUZXh0IjoiKEFobWVkICYjMzg7IE5lZWxpbiwgMjAxODsgU2NoaXJvICYjMzg7IE5lZWxpbiwgMjAxOSkiLCJtYW51YWxPdmVycmlkZVRleHQiOiIifSwiY2l0YXRpb25JdGVtcyI6W3siaWQiOiI5Njk0OGM5ZC1hMjcyLTM1NjgtYjZmYi1mYmZjNTliMjU1YTIiLCJpdGVtRGF0YSI6eyJ0eXBlIjoiYXJ0aWNsZS1qb3VybmFsIiwiaWQiOiI5Njk0OGM5ZC1hMjcyLTM1NjgtYjZmYi1mYmZjNTliMjU1YTIiLCJ0aXRsZSI6IlJldmVyc2UgRW5naW5lZXJpbmcgdGhlIFRyb3BpY2FsIFByZWNpcGl0YXRpb27igJNCdW95YW5jeSBSZWxhdGlvbnNoaXAiLCJhdXRob3IiOlt7ImZhbWlseSI6IkFobWVkIiwiZ2l2ZW4iOiJGaWF6IiwicGFyc2UtbmFtZXMiOmZhbHNlLCJkcm9wcGluZy1wYXJ0aWNsZSI6IiIsIm5vbi1kcm9wcGluZy1wYXJ0aWNsZSI6IiJ9LHsiZmFtaWx5IjoiTmVlbGluIiwiZ2l2ZW4iOiJKLiBEYXZpZCIsInBhcnNlLW5hbWVzIjpmYWxzZSwiZHJvcHBpbmctcGFydGljbGUiOiIiLCJub24tZHJvcHBpbmctcGFydGljbGUiOiIifV0sImNvbnRhaW5lci10aXRsZSI6IkpvdXJuYWwgb2YgdGhlIEF0bW9zcGhlcmljIFNjaWVuY2VzIiwiY29udGFpbmVyLXRpdGxlLXNob3J0IjoiSi4gQXRtb3MuIFNjaS4iLCJET0kiOiIxMC4xMTc1L0pBUy1ELTE3LTAzMzMuMSIsIklTU04iOiIwMDIyLTQ5MjgiLCJVUkwiOiJodHRwczovL2pvdXJuYWxzLmFtZXRzb2Mub3JnL2RvaS8xMC4xMTc1L0pBUy1ELTE3LTAzMzMuMSIsImlzc3VlZCI6eyJkYXRlLXBhcnRzIjpbWzIwMTgsNV1dfSwicGFnZSI6IjE1ODctMTYwOCIsImFic3RyYWN0IjoiPHA+VGhlIHRyb3BpY2FsIHByZWNpcGl0YXRpb27igJNtb2lzdHVyZSByZWxhdGlvbnNoaXAsIGNoYXJhY3Rlcml6ZWQgYnkgcmFwaWQgaW5jcmVhc2VzIGluIHByZWNpcGl0YXRpb24gZm9yIG1vZGVzdCBpbmNyZWFzZXMgaW4gbW9pc3R1cmUsIGlzIGNvbmNlcHR1YWxseSByZWNhc3QgaW4gYSBmcmFtZXdvcmsgcmVsZXZhbnQgdG8gcGx1bWUgYnVveWFuY3kgYW5kIGNvbmRpdGlvbmFsIGluc3RhYmlsaXR5IGluIHRoZSB0cm9waWNzLiBUaGUgd29ya2luZyBoeXBvdGhlc2lzIGluIHRoaXMgZnJhbWV3b3JrIGxpbmtzIHRoZSByYXBpZCBvbnNldCBvZiBwcmVjaXBpdGF0aW9uIHRvIGludGVncmF0ZWQgYnVveWFuY3kgaW4gdGhlIGxvd2VyIHRyb3Bvc3BoZXJlLiBBbiBhbmFseXRpY2FsIGV4cHJlc3Npb24gdGhhdCByZWxhdGVzIHRoZSBidW95YW5jeSBvZiBhbiBlbnRyYWluaW5nIHBsdW1lIHRvIHRoZSB2ZXJ0aWNhbCB0aGVybW9keW5hbWljIHN0cnVjdHVyZSBpcyBkZXJpdmVkLiBUaGUgbmF0dXJhbCB2YXJpYWJsZXMgaW4gdGhpcyBmcmFtZXdvcmsgYXJlIHNhdHVyYXRpb24gYW5kIHN1YnNhdHVyYXRpb24gZXF1aXZhbGVudCBwb3RlbnRpYWwgdGVtcGVyYXR1cmVzLCB3aGljaCBjYXB0dXJlIHRoZSBsZWFkaW5nLW9yZGVyIHRlbXBlcmF0dXJlIGFuZCBtb2lzdHVyZSB2YXJpYXRpb25zLCByZXNwZWN0aXZlbHkuIFRoZSB1c2Ugb2YgbGF5ZXIgYXZlcmFnZXMgc2ltcGxpZmllcyB0aGUgYW5hbHl0aWNhbCBhbmQgc3Vic2VxdWVudCBudW1lcmljYWwgdHJlYXRtZW50LiBUaHJlZSBkaXN0aW5jdCBsYXllcnMsIHRoZSBib3VuZGFyeSBsYXllciwgdGhlIGxvd2VyIGZyZWUgdHJvcG9zcGhlcmUsIGFuZCB0aGUgbWlkdHJvcG9zcGhlcmUsIGFkZXF1YXRlbHkgY2FwdHVyZSB0aGUgdmVydGljYWwgdmFyaWF0aW9ucyBpbiB0aGUgdGhlcm1vZHluYW1pYyBzdHJ1Y3R1cmUuIFRoZSBpbmZsdWVuY2Ugb2YgZWFjaCBlbnZpcm9ubWVudGFsIGxheWVyIG9uIHRoZSBwbHVtZSBpcyBhc3N1bWVkIHRvIG9jY3VyIHZpYSBsYXRlcmFsIGVudHJhaW5tZW50LCBjb3JyZXNwb25kaW5nIHRvIGFuIGFzc3VtZWQgbWFzcy1mbHV4IHByb2ZpbGUuIFRoZSBmcmFjdGlvbmFsIGNvbnRyaWJ1dGlvbiBvZiBlYWNoIGxheWVyIHRvIHRoZSBtaWRsZXZlbCBwbHVtZSBidW95YW5jeSAoaS5lLiwgdGhlIGxheWVyIHdlaWdodCkgaXMgZXN0aW1hdGVkIGZyb20gVFJNTSAzQjQyIHByZWNpcGl0YXRpb24gYW5kIEVSQS1JbnRlcmltIHRoZXJtb2R5bmFtaWMgcHJvZmlsZXMuIFRoZSBsYXllciB3ZWlnaHRzIGFyZSB1c2VkIHRvIOKAnHJldmVyc2UgZW5naW5lZXLigJ0gYSBkZWVwLWluZmxvdyBtYXNzLWZsdXggcHJvZmlsZSB0aGF0IGlzIG5vbWluYWxseSBkZXNjcmlwdGl2ZSBvZiB0aGUgdHJvcGljYWwgYXRtb3NwaGVyZSB0aHJvdWdoIHRoZSBvbnNldCBvZiBkZWVwIGNvbnZlY3Rpb24uIFRoZSBsYXllciB3ZWlnaHRz4oCUd2hpY2ggYXJlIG5lYXJseSB0aGUgc2FtZSBmb3IgZWFjaCBvZiB0aGUgbGF5ZXJz4oCUY29uc3RpdHV0ZSBhbiBlbnZpcm9ubWVudGFsIGluZmx1ZW5jZSBmdW5jdGlvbiBhbmQgYXJlIGFsc28gdXNlZCB0byBjb21wdXRlIGEgZnJlZS10cm9wb3NwaGVyaWMgaW50ZWdyYXRlZCBidW95YW5jeSBtZWFzdXJlLiBUaGlzIG1lYXN1cmUgaXMgc2hvd24gdG8gYmUgYW4gZWZmZWN0aXZlIHByZWRpY3RvciBvZiBvbnNldCBpbiBjb25kaXRpb25hbGx5IGF2ZXJhZ2VkIHByZWNpcGl0YXRpb24gYWNyb3NzIHRoZSBnbG9iYWwgdHJvcGljc+KAlG92ZXIgYm90aCBsYW5kIGFuZCBvY2Vhbi48L3A+IiwiaXNzdWUiOiI1Iiwidm9sdW1lIjoiNzUifSwiaXNUZW1wb3JhcnkiOmZhbHNlfSx7ImlkIjoiOGMxZWJjZGYtZDJkZi0zYjEzLTgzYmMtNDRmMzYzNzIyMTNiIiwiaXRlbURhdGEiOnsidHlwZSI6ImFydGljbGUtam91cm5hbCIsImlkIjoiOGMxZWJjZGYtZDJkZi0zYjEzLTgzYmMtNDRmMzYzNzIyMTNiIiwidGl0bGUiOiJEZWVwIENvbnZlY3RpdmUgT3JnYW5pemF0aW9uLCBNb2lzdHVyZSBWZXJ0aWNhbCBTdHJ1Y3R1cmUsIGFuZCBDb252ZWN0aXZlIFRyYW5zaXRpb24gVXNpbmcgRGVlcC1JbmZsb3cgTWl4aW5nIiwiYXV0aG9yIjpbeyJmYW1pbHkiOiJTY2hpcm8iLCJnaXZlbiI6IkthdGhsZWVuIEEuIiwicGFyc2UtbmFtZXMiOmZhbHNlLCJkcm9wcGluZy1wYXJ0aWNsZSI6IiIsIm5vbi1kcm9wcGluZy1wYXJ0aWNsZSI6IiJ9LHsiZmFtaWx5IjoiTmVlbGluIiwiZ2l2ZW4iOiJKLiBEYXZpZCIsInBhcnNlLW5hbWVzIjpmYWxzZSwiZHJvcHBpbmctcGFydGljbGUiOiIiLCJub24tZHJvcHBpbmctcGFydGljbGUiOiIifV0sImNvbnRhaW5lci10aXRsZSI6IkpvdXJuYWwgb2YgdGhlIEF0bW9zcGhlcmljIFNjaWVuY2VzIiwiY29udGFpbmVyLXRpdGxlLXNob3J0IjoiSi4gQXRtb3MuIFNjaS4iLCJET0kiOiIxMC4xMTc1L0pBUy1ELTE4LTAxMjIuMSIsIklTU04iOiIwMDIyLTQ5MjgiLCJVUkwiOiJodHRwczovL2pvdXJuYWxzLmFtZXRzb2Mub3JnL2RvaS8xMC4xMTc1L0pBUy1ELTE4LTAxMjIuMSIsImlzc3VlZCI6eyJkYXRlLXBhcnRzIjpbWzIwMTksNCwxXV19LCJwYWdlIjoiOTY1LTk4NyIsImFic3RyYWN0IjoiPHA+SXQgaXMgYW4gb3BlbiBxdWVzdGlvbiB3aGV0aGVyIGFuIGludGVncmF0ZWQgbWVhc3VyZSBvZiBidW95YW5jeSBjYW4geWllbGQgYSBzdHJvbmcgcmVsYXRpb24gdG8gcHJlY2lwaXRhdGlvbiBhY3Jvc3MgdHJvcGljYWwgbGFuZCBhbmQgb2NlYW4sIGFjcm9zcyB0aGUgc2Vhc29uYWwgYW5kIGRpdXJuYWwgY3ljbGVzLCBhbmQgZm9yIHZhcnlpbmcgZGVncmVlcyBvZiBjb252ZWN0aXZlIG9yZ2FuaXphdGlvbi4gQnVpbGRpbmcgb24gcHJldmlvdXMgd29yaywgZW50cmFpbmluZyBwbHVtZSBidW95YW5jeSBjYWxjdWxhdGlvbnMgcmV2ZWFsIHRoYXQgZGlmZmVyZW5jZXMgaW4gY29udmVjdGl2ZSBvbnNldCBhcyBhIGZ1bmN0aW9uIG9mIGNvbHVtbiB3YXRlciB2YXBvciAoQ1dWKSBvdmVyIGxhbmQgYW5kIG9jZWFuLCBhcyB3ZWxsIGFzIHNlYXNvbmFsbHkgYW5kIGRpdXJuYWxseSBvdmVyIGxhbmQsIGFyZSBsYXJnZWx5IGR1ZSB0byB2YXJpYWJpbGl0eSBpbiB0aGUgY29udHJpYnV0aW9uIG9mIGxvd2VyLXRyb3Bvc3BoZXJpYyBodW1pZGl0eSB0byB0aGUgdG90YWwgY29sdW1uIG1vaXN0dXJlLiBPdmVyIGxhbmQsIHRoZSByZWxhdGlvbnNoaXAgYmV0d2VlbiBkZWVwIGNvbnZlY3Rpb24gYW5kIGxvd2VyLWZyZWUtdHJvcG9zcGhlcmljIG1vaXN0dXJlIGlzIHJvYnVzdCBhY3Jvc3MgYWxsIHNlYXNvbnMgYW5kIHRpbWVzIG9mIGRheSwgd2hlcmVhcyB0aGUgcmVsYXRpb24gdG8gYm91bmRhcnkgbGF5ZXIgbW9pc3R1cmUgaXMgcm9idXN0IGZvciB0aGUgZGF5dGltZSBvbmx5LiBVc2luZyBTLWJhbmQgcmFkYXIsIHRoZXNlIHRyYW5zaXRpb24gc3RhdGlzdGljcyBhcmUgZXhhbWluZWQgc2VwYXJhdGVseSBmb3IgbWVzb3NjYWxlIGFuZCBzbWFsbGVyLXNjYWxlIGNvbnZlY3Rpb24uIFRoZSBwcm9iYWJpbGl0eSBvZiBvYnNlcnZpbmcgbWVzb3NjYWxlIGNvbnZlY3RpdmUgc3lzdGVtcyBzaGFycGx5IGluY3JlYXNlcyBhcyBhIGZ1bmN0aW9uIG9mIGxvd2VyLWZyZWUtdHJvcG9zcGhlcmljIGh1bWlkaXR5LiBUaGUgY29uc2lzdGVuY3kgb2YgdGhpcyB3aXRoIGJ1b3lhbmN5LWJhc2VkIHBhcmFtZXRlcml6YXRpb24gaXMgZXhhbWluZWQgZm9yIHNldmVyYWwgbWl4aW5nIGZvcm11bGF0aW9ucy4gTWl4aW5nIGNvcnJlc3BvbmRpbmcgdG8gZGVlcCBpbmZsb3cgb2YgZW52aXJvbm1lbnRhbCBhaXIgaW50byBhIHBsdW1lIHRoYXQgZ3Jvd3Mgd2l0aCBoZWlnaHQsIHdoaWNoIGluY29ycG9yYXRlcyBuZWFybHkgZXF1YWwgd2VpZ2h0aW5nIG9mIGJvdW5kYXJ5IGxheWVyIGFuZCBmcmVlLXRyb3Bvc3BoZXJpYyBhaXIsIHlpZWxkcyBidW95YW5jaWVzIGNvbnNpc3RlbnQgd2l0aCB0aGUgb2JzZXJ2ZWQgb25zZXQgb2YgZGVlcCBjb252ZWN0aW9uIGFjcm9zcyB0aGUgc2Vhc29uYWwgYW5kIGRpdXJuYWwgY3ljbGVzIGluIHRoZSBBbWF6b24uIEZ1cnRoZXJtb3JlLCBpdCBwcm92aWRlcyByZWxhdGlvbnNoaXBzIHRoYXQgYXJlIGFzIHN0cm9uZyBvciBzdHJvbmdlciBmb3IgbWVzb3NjYWxlLW9yZ2FuaXplZCBjb252ZWN0aW9uIGFzIGZvciBzbWFsbGVyLXNjYWxlIGNvbnZlY3Rpb24uPC9wPiIsImlzc3VlIjoiNCIsInZvbHVtZSI6Ijc2In0sImlzVGVtcG9yYXJ5IjpmYWxzZX1dfQ=="/>
          <w:id w:val="1134139851"/>
          <w:placeholder>
            <w:docPart w:val="DefaultPlaceholder_-1854013440"/>
          </w:placeholder>
        </w:sdtPr>
        <w:sdtContent>
          <w:r w:rsidR="002728D5" w:rsidRPr="002728D5">
            <w:rPr>
              <w:rFonts w:ascii="Cambria" w:eastAsia="Times New Roman" w:hAnsi="Cambria"/>
              <w:color w:val="000000"/>
            </w:rPr>
            <w:t xml:space="preserve">(Ahmed &amp; </w:t>
          </w:r>
          <w:proofErr w:type="spellStart"/>
          <w:r w:rsidR="002728D5" w:rsidRPr="002728D5">
            <w:rPr>
              <w:rFonts w:ascii="Cambria" w:eastAsia="Times New Roman" w:hAnsi="Cambria"/>
              <w:color w:val="000000"/>
            </w:rPr>
            <w:t>Neelin</w:t>
          </w:r>
          <w:proofErr w:type="spellEnd"/>
          <w:r w:rsidR="002728D5" w:rsidRPr="002728D5">
            <w:rPr>
              <w:rFonts w:ascii="Cambria" w:eastAsia="Times New Roman" w:hAnsi="Cambria"/>
              <w:color w:val="000000"/>
            </w:rPr>
            <w:t xml:space="preserve">, 2018; </w:t>
          </w:r>
          <w:proofErr w:type="spellStart"/>
          <w:r w:rsidR="002728D5" w:rsidRPr="002728D5">
            <w:rPr>
              <w:rFonts w:ascii="Cambria" w:eastAsia="Times New Roman" w:hAnsi="Cambria"/>
              <w:color w:val="000000"/>
            </w:rPr>
            <w:t>Schiro</w:t>
          </w:r>
          <w:proofErr w:type="spellEnd"/>
          <w:r w:rsidR="002728D5" w:rsidRPr="002728D5">
            <w:rPr>
              <w:rFonts w:ascii="Cambria" w:eastAsia="Times New Roman" w:hAnsi="Cambria"/>
              <w:color w:val="000000"/>
            </w:rPr>
            <w:t xml:space="preserve"> &amp; </w:t>
          </w:r>
          <w:proofErr w:type="spellStart"/>
          <w:r w:rsidR="002728D5" w:rsidRPr="002728D5">
            <w:rPr>
              <w:rFonts w:ascii="Cambria" w:eastAsia="Times New Roman" w:hAnsi="Cambria"/>
              <w:color w:val="000000"/>
            </w:rPr>
            <w:t>Neelin</w:t>
          </w:r>
          <w:proofErr w:type="spellEnd"/>
          <w:r w:rsidR="002728D5" w:rsidRPr="002728D5">
            <w:rPr>
              <w:rFonts w:ascii="Cambria" w:eastAsia="Times New Roman" w:hAnsi="Cambria"/>
              <w:color w:val="000000"/>
            </w:rPr>
            <w:t>, 2019)</w:t>
          </w:r>
        </w:sdtContent>
      </w:sdt>
      <w:r w:rsidR="00C87A71" w:rsidRPr="00C87A71">
        <w:t>.</w:t>
      </w:r>
      <w:r w:rsidR="00C87A71" w:rsidRPr="00C87A71">
        <w:t xml:space="preserve"> </w:t>
      </w:r>
      <w:r w:rsidR="00A576A6">
        <w:rPr>
          <w:rFonts w:hint="eastAsia"/>
          <w:lang w:eastAsia="zh-CN"/>
        </w:rPr>
        <w:t>In</w:t>
      </w:r>
      <w:r w:rsidR="00A576A6">
        <w:rPr>
          <w:lang w:eastAsia="zh-CN"/>
        </w:rPr>
        <w:t xml:space="preserve"> </w:t>
      </w:r>
      <w:r w:rsidR="00A576A6">
        <w:rPr>
          <w:rFonts w:hint="eastAsia"/>
          <w:lang w:eastAsia="zh-CN"/>
        </w:rPr>
        <w:t>this</w:t>
      </w:r>
      <w:r w:rsidR="00A576A6">
        <w:rPr>
          <w:lang w:eastAsia="zh-CN"/>
        </w:rPr>
        <w:t xml:space="preserve"> study, w</w:t>
      </w:r>
      <w:r w:rsidR="003170C4">
        <w:t xml:space="preserve">e </w:t>
      </w:r>
      <w:r>
        <w:t xml:space="preserve">introduce a vertically resolved, lifecycle‑based diagnostic framework that tracks </w:t>
      </w:r>
      <w:r w:rsidR="00307A16" w:rsidRPr="00307A16">
        <w:t xml:space="preserve">the evolving </w:t>
      </w:r>
      <w:r w:rsidR="00764EDA">
        <w:t>moisture</w:t>
      </w:r>
      <w:r w:rsidR="00307A16" w:rsidRPr="00307A16">
        <w:t xml:space="preserve"> environment</w:t>
      </w:r>
      <w:r w:rsidR="00307A16">
        <w:t xml:space="preserve"> </w:t>
      </w:r>
      <w:r>
        <w:t>across the precipitation lifecycle. The core contributions are: (</w:t>
      </w:r>
      <w:proofErr w:type="spellStart"/>
      <w:r>
        <w:t>i</w:t>
      </w:r>
      <w:proofErr w:type="spellEnd"/>
      <w:r>
        <w:t>)</w:t>
      </w:r>
      <w:r w:rsidR="00D42C27" w:rsidRPr="00D42C27">
        <w:t xml:space="preserve"> </w:t>
      </w:r>
      <w:r w:rsidR="00D42C27">
        <w:t>observational evidence of state‑space contraction preceding extreme rainfall</w:t>
      </w:r>
      <w:r>
        <w:t xml:space="preserve">; </w:t>
      </w:r>
      <w:r w:rsidR="005F3994">
        <w:t xml:space="preserve">and </w:t>
      </w:r>
      <w:r>
        <w:t>(ii)</w:t>
      </w:r>
      <w:r w:rsidR="00D42C27">
        <w:t xml:space="preserve"> a lifecycle-based framework that isolates event‑specific anomalies from seasonal baselines</w:t>
      </w:r>
      <w:r>
        <w:t>. This work aligns with Climate Informatics themes in prediction and nowcasting, data‑driven diagnostic methods, and reproducible, statistically rigorous evaluation.</w:t>
      </w:r>
    </w:p>
    <w:p w14:paraId="3E1D47E2" w14:textId="77777777" w:rsidR="006401BE" w:rsidRDefault="005C5D5D">
      <w:pPr>
        <w:pStyle w:val="Heading1"/>
      </w:pPr>
      <w:r>
        <w:t>2 Methods and data</w:t>
      </w:r>
    </w:p>
    <w:p w14:paraId="134B75A6" w14:textId="4E327E7B" w:rsidR="00C7772C" w:rsidRDefault="005F3994" w:rsidP="00BA0165">
      <w:r w:rsidRPr="005F3994">
        <w:t xml:space="preserve">The analysis uses </w:t>
      </w:r>
      <w:r w:rsidR="00BB39EA" w:rsidRPr="00C7772C">
        <w:t xml:space="preserve">19 years (2005–2023) of hourly </w:t>
      </w:r>
      <w:r w:rsidR="00BB39EA">
        <w:t>r</w:t>
      </w:r>
      <w:r w:rsidR="00BB39EA" w:rsidRPr="00C7772C">
        <w:t xml:space="preserve">ain gauge data </w:t>
      </w:r>
      <w:r w:rsidR="00BB39EA">
        <w:t xml:space="preserve">from </w:t>
      </w:r>
      <w:r w:rsidR="00BB39EA" w:rsidRPr="00C7772C">
        <w:t xml:space="preserve">45 automatic weather stations </w:t>
      </w:r>
      <w:r w:rsidR="00BB39EA">
        <w:t xml:space="preserve">and </w:t>
      </w:r>
      <w:r w:rsidR="00BB39EA" w:rsidRPr="00C7772C">
        <w:t xml:space="preserve">ERA5 reanalysis </w:t>
      </w:r>
      <w:r w:rsidR="00BB39EA">
        <w:t xml:space="preserve">at </w:t>
      </w:r>
      <w:r w:rsidR="00BB39EA" w:rsidRPr="00C7772C">
        <w:t>0.25° horizontal resolution on 37 pressure levels</w:t>
      </w:r>
      <w:r w:rsidR="00BB39EA">
        <w:t>.</w:t>
      </w:r>
      <w:r>
        <w:t xml:space="preserve"> </w:t>
      </w:r>
      <w:r w:rsidR="008073F1">
        <w:t>The p</w:t>
      </w:r>
      <w:r w:rsidR="00BA0165" w:rsidRPr="003743B8">
        <w:t>recipitation lifecycle framework</w:t>
      </w:r>
      <w:r w:rsidR="00BA0165" w:rsidRPr="00460D08">
        <w:t xml:space="preserve"> comprises five stages: No Rain (NR)—quiescent baseline (≥12 h from any event); Before Rain (BR12–BR1)—12 h preceding onset; During Rain (DR) — active rain; After Rain (AR1–AR12)—12 h after cessation.</w:t>
      </w:r>
      <w:r w:rsidR="00BA0165" w:rsidRPr="003743B8">
        <w:t xml:space="preserve"> </w:t>
      </w:r>
      <w:r w:rsidR="00BA0165" w:rsidRPr="00460D08">
        <w:t>Rainfall intensity is classified by grid</w:t>
      </w:r>
      <w:r w:rsidR="00BA0165" w:rsidRPr="00460D08">
        <w:noBreakHyphen/>
        <w:t>averaged maximum hourly rainfall rate during DR into five</w:t>
      </w:r>
      <w:r w:rsidR="00D51AB4">
        <w:t xml:space="preserve"> </w:t>
      </w:r>
      <w:r w:rsidR="00BA0165" w:rsidRPr="00460D08">
        <w:t>seasonal</w:t>
      </w:r>
      <w:r w:rsidR="00BA0165" w:rsidRPr="00460D08">
        <w:noBreakHyphen/>
        <w:t xml:space="preserve">percentile categories: R1 (drizzle, &lt;50th), R2 (light, 50th–70th), R3 (moderate, 70th–90th), R4 (heavy, 90th–95th), and R5 (extreme, ≥95th). </w:t>
      </w:r>
      <w:r w:rsidR="00BA0165" w:rsidRPr="003743B8">
        <w:t>Statistical separability</w:t>
      </w:r>
      <w:r w:rsidR="00BA0165" w:rsidRPr="00460D08">
        <w:t xml:space="preserve"> is assessed with Kolmogorov</w:t>
      </w:r>
      <w:r w:rsidR="00BA0165" w:rsidRPr="00460D08">
        <w:noBreakHyphen/>
        <w:t>Smirnov (KS) and Anderson</w:t>
      </w:r>
      <w:r w:rsidR="00BA0165" w:rsidRPr="00460D08">
        <w:noBreakHyphen/>
        <w:t xml:space="preserve">Darling (AD) tests, and Cohen’s d effect size for practical significance. Nonparametric bootstrap resampling </w:t>
      </w:r>
      <w:r w:rsidR="005255B6">
        <w:t>(1500 i</w:t>
      </w:r>
      <w:r w:rsidR="001175D2">
        <w:t>terations</w:t>
      </w:r>
      <w:r w:rsidR="005255B6">
        <w:t xml:space="preserve">) </w:t>
      </w:r>
      <w:r w:rsidR="00BA0165" w:rsidRPr="00460D08">
        <w:t xml:space="preserve">provides 95% confidence intervals. </w:t>
      </w:r>
      <w:r w:rsidR="00C7772C" w:rsidRPr="003743B8">
        <w:t>Integrated Relative Humidity (IRH)</w:t>
      </w:r>
      <w:r w:rsidR="00C7772C" w:rsidRPr="00460D08">
        <w:t xml:space="preserve"> is defined as the cumulative saturation fraction from the surface </w:t>
      </w:r>
      <w:r w:rsidR="00C7772C" w:rsidRPr="00460D08">
        <w:rPr>
          <w:i/>
          <w:iCs/>
        </w:rPr>
        <w:t>Ps</w:t>
      </w:r>
      <w:r w:rsidR="00C7772C" w:rsidRPr="00460D08">
        <w:t>​ to a specified cut</w:t>
      </w:r>
      <w:r w:rsidR="00C7772C" w:rsidRPr="00460D08">
        <w:noBreakHyphen/>
        <w:t>off pressure </w:t>
      </w:r>
      <w:r w:rsidR="00C7772C" w:rsidRPr="00460D08">
        <w:rPr>
          <w:i/>
          <w:iCs/>
        </w:rPr>
        <w:t>Pc</w:t>
      </w:r>
      <w:r w:rsidR="00C7772C" w:rsidRPr="00460D08">
        <w:t>​:</w:t>
      </w:r>
      <w:r w:rsidR="00703286">
        <w:t xml:space="preserve"> </w:t>
      </w:r>
    </w:p>
    <w:p w14:paraId="646FA47C" w14:textId="7D07D489" w:rsidR="00703286" w:rsidRPr="00EA06A3" w:rsidRDefault="00703286" w:rsidP="00BA0165">
      <m:oMathPara>
        <m:oMath>
          <m:r>
            <w:rPr>
              <w:rFonts w:ascii="Cambria Math" w:hAnsi="Cambria Math" w:cstheme="minorHAnsi"/>
              <w:color w:val="000000" w:themeColor="text1"/>
              <w:lang w:val="en-HK"/>
            </w:rPr>
            <m:t>IRH(</m:t>
          </m:r>
          <m:sSub>
            <m:sSubPr>
              <m:ctrlPr>
                <w:rPr>
                  <w:rFonts w:ascii="Cambria Math" w:hAnsi="Cambria Math" w:cstheme="minorHAnsi"/>
                  <w:i/>
                  <w:iCs/>
                  <w:color w:val="000000" w:themeColor="text1"/>
                  <w:lang w:val="en-HK"/>
                </w:rPr>
              </m:ctrlPr>
            </m:sSubPr>
            <m:e>
              <m:r>
                <w:rPr>
                  <w:rFonts w:ascii="Cambria Math" w:hAnsi="Cambria Math" w:cstheme="minorHAnsi"/>
                  <w:color w:val="000000" w:themeColor="text1"/>
                  <w:lang w:val="en-HK"/>
                </w:rPr>
                <m:t>P</m:t>
              </m:r>
            </m:e>
            <m:sub>
              <m:r>
                <w:rPr>
                  <w:rFonts w:ascii="Cambria Math" w:hAnsi="Cambria Math" w:cstheme="minorHAnsi"/>
                  <w:color w:val="000000" w:themeColor="text1"/>
                  <w:lang w:val="en-HK"/>
                </w:rPr>
                <m:t>c</m:t>
              </m:r>
            </m:sub>
          </m:sSub>
          <m:r>
            <w:rPr>
              <w:rFonts w:ascii="Cambria Math" w:hAnsi="Cambria Math" w:cstheme="minorHAnsi"/>
              <w:color w:val="000000" w:themeColor="text1"/>
              <w:lang w:val="en-HK"/>
            </w:rPr>
            <m:t>)=</m:t>
          </m:r>
          <m:f>
            <m:fPr>
              <m:ctrlPr>
                <w:rPr>
                  <w:rFonts w:ascii="Cambria Math" w:hAnsi="Cambria Math" w:cstheme="minorHAnsi"/>
                  <w:i/>
                  <w:iCs/>
                  <w:color w:val="000000" w:themeColor="text1"/>
                  <w:lang w:val="en-HK"/>
                </w:rPr>
              </m:ctrlPr>
            </m:fPr>
            <m:num>
              <m:nary>
                <m:naryPr>
                  <m:limLoc m:val="subSup"/>
                  <m:ctrlPr>
                    <w:rPr>
                      <w:rFonts w:ascii="Cambria Math" w:hAnsi="Cambria Math" w:cstheme="minorHAnsi"/>
                      <w:i/>
                      <w:iCs/>
                      <w:color w:val="000000" w:themeColor="text1"/>
                      <w:lang w:val="en-HK"/>
                    </w:rPr>
                  </m:ctrlPr>
                </m:naryPr>
                <m:sub>
                  <m:sSub>
                    <m:sSubPr>
                      <m:ctrlPr>
                        <w:rPr>
                          <w:rFonts w:ascii="Cambria Math" w:hAnsi="Cambria Math" w:cstheme="minorHAnsi"/>
                          <w:i/>
                          <w:iCs/>
                          <w:color w:val="000000" w:themeColor="text1"/>
                          <w:lang w:val="en-HK"/>
                        </w:rPr>
                      </m:ctrlPr>
                    </m:sSubPr>
                    <m:e>
                      <m:r>
                        <w:rPr>
                          <w:rFonts w:ascii="Cambria Math" w:hAnsi="Cambria Math" w:cstheme="minorHAnsi"/>
                          <w:color w:val="000000" w:themeColor="text1"/>
                          <w:lang w:val="en-HK"/>
                        </w:rPr>
                        <m:t>P</m:t>
                      </m:r>
                    </m:e>
                    <m:sub>
                      <m:r>
                        <w:rPr>
                          <w:rFonts w:ascii="Cambria Math" w:hAnsi="Cambria Math" w:cstheme="minorHAnsi"/>
                          <w:color w:val="000000" w:themeColor="text1"/>
                          <w:lang w:val="en-HK"/>
                        </w:rPr>
                        <m:t>c</m:t>
                      </m:r>
                    </m:sub>
                  </m:sSub>
                </m:sub>
                <m:sup>
                  <m:sSub>
                    <m:sSubPr>
                      <m:ctrlPr>
                        <w:rPr>
                          <w:rFonts w:ascii="Cambria Math" w:hAnsi="Cambria Math" w:cstheme="minorHAnsi"/>
                          <w:i/>
                          <w:iCs/>
                          <w:color w:val="000000" w:themeColor="text1"/>
                          <w:lang w:val="en-HK"/>
                        </w:rPr>
                      </m:ctrlPr>
                    </m:sSubPr>
                    <m:e>
                      <m:r>
                        <w:rPr>
                          <w:rFonts w:ascii="Cambria Math" w:hAnsi="Cambria Math" w:cstheme="minorHAnsi"/>
                          <w:color w:val="000000" w:themeColor="text1"/>
                          <w:lang w:val="en-HK"/>
                        </w:rPr>
                        <m:t>P</m:t>
                      </m:r>
                    </m:e>
                    <m:sub>
                      <m:r>
                        <w:rPr>
                          <w:rFonts w:ascii="Cambria Math" w:hAnsi="Cambria Math" w:cstheme="minorHAnsi"/>
                          <w:color w:val="000000" w:themeColor="text1"/>
                          <w:lang w:val="en-HK"/>
                        </w:rPr>
                        <m:t>s</m:t>
                      </m:r>
                    </m:sub>
                  </m:sSub>
                </m:sup>
                <m:e>
                  <m:r>
                    <w:rPr>
                      <w:rFonts w:ascii="Cambria Math" w:hAnsi="Cambria Math" w:cstheme="minorHAnsi"/>
                      <w:color w:val="000000" w:themeColor="text1"/>
                      <w:lang w:val="en-HK"/>
                    </w:rPr>
                    <m:t>qdP</m:t>
                  </m:r>
                </m:e>
              </m:nary>
            </m:num>
            <m:den>
              <m:nary>
                <m:naryPr>
                  <m:limLoc m:val="subSup"/>
                  <m:ctrlPr>
                    <w:rPr>
                      <w:rFonts w:ascii="Cambria Math" w:hAnsi="Cambria Math" w:cstheme="minorHAnsi"/>
                      <w:i/>
                      <w:iCs/>
                      <w:color w:val="000000" w:themeColor="text1"/>
                      <w:lang w:val="en-HK"/>
                    </w:rPr>
                  </m:ctrlPr>
                </m:naryPr>
                <m:sub>
                  <m:sSub>
                    <m:sSubPr>
                      <m:ctrlPr>
                        <w:rPr>
                          <w:rFonts w:ascii="Cambria Math" w:hAnsi="Cambria Math" w:cstheme="minorHAnsi"/>
                          <w:i/>
                          <w:iCs/>
                          <w:color w:val="000000" w:themeColor="text1"/>
                          <w:lang w:val="en-HK"/>
                        </w:rPr>
                      </m:ctrlPr>
                    </m:sSubPr>
                    <m:e>
                      <m:r>
                        <w:rPr>
                          <w:rFonts w:ascii="Cambria Math" w:hAnsi="Cambria Math" w:cstheme="minorHAnsi"/>
                          <w:color w:val="000000" w:themeColor="text1"/>
                          <w:lang w:val="en-HK"/>
                        </w:rPr>
                        <m:t>P</m:t>
                      </m:r>
                    </m:e>
                    <m:sub>
                      <m:r>
                        <w:rPr>
                          <w:rFonts w:ascii="Cambria Math" w:hAnsi="Cambria Math" w:cstheme="minorHAnsi"/>
                          <w:color w:val="000000" w:themeColor="text1"/>
                          <w:lang w:val="en-HK"/>
                        </w:rPr>
                        <m:t>c</m:t>
                      </m:r>
                    </m:sub>
                  </m:sSub>
                </m:sub>
                <m:sup>
                  <m:sSub>
                    <m:sSubPr>
                      <m:ctrlPr>
                        <w:rPr>
                          <w:rFonts w:ascii="Cambria Math" w:hAnsi="Cambria Math" w:cstheme="minorHAnsi"/>
                          <w:i/>
                          <w:iCs/>
                          <w:color w:val="000000" w:themeColor="text1"/>
                          <w:lang w:val="en-HK"/>
                        </w:rPr>
                      </m:ctrlPr>
                    </m:sSubPr>
                    <m:e>
                      <m:r>
                        <w:rPr>
                          <w:rFonts w:ascii="Cambria Math" w:hAnsi="Cambria Math" w:cstheme="minorHAnsi"/>
                          <w:color w:val="000000" w:themeColor="text1"/>
                          <w:lang w:val="en-HK"/>
                        </w:rPr>
                        <m:t>P</m:t>
                      </m:r>
                    </m:e>
                    <m:sub>
                      <m:r>
                        <w:rPr>
                          <w:rFonts w:ascii="Cambria Math" w:hAnsi="Cambria Math" w:cstheme="minorHAnsi"/>
                          <w:color w:val="000000" w:themeColor="text1"/>
                          <w:lang w:val="en-HK"/>
                        </w:rPr>
                        <m:t>s</m:t>
                      </m:r>
                    </m:sub>
                  </m:sSub>
                </m:sup>
                <m:e>
                  <m:sSub>
                    <m:sSubPr>
                      <m:ctrlPr>
                        <w:rPr>
                          <w:rFonts w:ascii="Cambria Math" w:hAnsi="Cambria Math" w:cstheme="minorHAnsi"/>
                          <w:i/>
                          <w:iCs/>
                          <w:color w:val="000000" w:themeColor="text1"/>
                          <w:lang w:val="en-HK"/>
                        </w:rPr>
                      </m:ctrlPr>
                    </m:sSubPr>
                    <m:e>
                      <m:r>
                        <w:rPr>
                          <w:rFonts w:ascii="Cambria Math" w:hAnsi="Cambria Math" w:cstheme="minorHAnsi"/>
                          <w:color w:val="000000" w:themeColor="text1"/>
                          <w:lang w:val="en-HK"/>
                        </w:rPr>
                        <m:t>q</m:t>
                      </m:r>
                    </m:e>
                    <m:sub>
                      <m:r>
                        <w:rPr>
                          <w:rFonts w:ascii="Cambria Math" w:hAnsi="Cambria Math" w:cstheme="minorHAnsi"/>
                          <w:color w:val="000000" w:themeColor="text1"/>
                          <w:lang w:val="en-HK"/>
                        </w:rPr>
                        <m:t>s</m:t>
                      </m:r>
                    </m:sub>
                  </m:sSub>
                  <m:r>
                    <w:rPr>
                      <w:rFonts w:ascii="Cambria Math" w:hAnsi="Cambria Math" w:cstheme="minorHAnsi"/>
                      <w:color w:val="000000" w:themeColor="text1"/>
                      <w:lang w:val="en-HK"/>
                    </w:rPr>
                    <m:t>dP</m:t>
                  </m:r>
                </m:e>
              </m:nary>
            </m:den>
          </m:f>
        </m:oMath>
      </m:oMathPara>
    </w:p>
    <w:p w14:paraId="4928B675" w14:textId="669223E2" w:rsidR="005F3105" w:rsidRDefault="00C7772C" w:rsidP="00C7772C">
      <w:r w:rsidRPr="00C7772C">
        <w:t>where </w:t>
      </w:r>
      <w:r w:rsidRPr="00C7772C">
        <w:rPr>
          <w:i/>
          <w:iCs/>
        </w:rPr>
        <w:t>q</w:t>
      </w:r>
      <w:r w:rsidRPr="00C7772C">
        <w:t> is specific humidity and </w:t>
      </w:r>
      <w:proofErr w:type="spellStart"/>
      <w:r w:rsidRPr="00C7772C">
        <w:rPr>
          <w:i/>
          <w:iCs/>
        </w:rPr>
        <w:t>q</w:t>
      </w:r>
      <w:r w:rsidRPr="00D22E42">
        <w:rPr>
          <w:i/>
          <w:iCs/>
          <w:vertAlign w:val="subscript"/>
        </w:rPr>
        <w:t>s</w:t>
      </w:r>
      <w:proofErr w:type="spellEnd"/>
      <w:r w:rsidRPr="00D22E42">
        <w:rPr>
          <w:vertAlign w:val="subscript"/>
        </w:rPr>
        <w:t>​</w:t>
      </w:r>
      <w:r w:rsidRPr="00C7772C">
        <w:t xml:space="preserve"> is saturation specific humidity. </w:t>
      </w:r>
      <w:r w:rsidR="00D56F18">
        <w:t>IRH</w:t>
      </w:r>
      <w:r w:rsidR="00D56F18" w:rsidRPr="00C7772C">
        <w:t xml:space="preserve"> physically represents the total entrainment</w:t>
      </w:r>
      <w:r w:rsidR="00D56F18" w:rsidRPr="00C7772C">
        <w:noBreakHyphen/>
        <w:t>related dilution a rising parcel would encounter. IRH is computed for eight pressure cut</w:t>
      </w:r>
      <w:r w:rsidR="00D56F18" w:rsidRPr="00C7772C">
        <w:noBreakHyphen/>
        <w:t>offs from 1000–925 hPa to 1000–150 hPa</w:t>
      </w:r>
      <w:r w:rsidR="00D56F18">
        <w:rPr>
          <w:lang w:eastAsia="zh-CN"/>
        </w:rPr>
        <w:t>, denoted as IRH</w:t>
      </w:r>
      <w:r w:rsidR="00D56F18" w:rsidRPr="00A71268">
        <w:rPr>
          <w:vertAlign w:val="subscript"/>
          <w:lang w:eastAsia="zh-CN"/>
        </w:rPr>
        <w:t>925</w:t>
      </w:r>
      <w:r w:rsidR="00D56F18">
        <w:rPr>
          <w:lang w:eastAsia="zh-CN"/>
        </w:rPr>
        <w:t xml:space="preserve"> to IRH</w:t>
      </w:r>
      <w:r w:rsidR="00D56F18" w:rsidRPr="00A71268">
        <w:rPr>
          <w:vertAlign w:val="subscript"/>
          <w:lang w:eastAsia="zh-CN"/>
        </w:rPr>
        <w:t>150</w:t>
      </w:r>
      <w:r w:rsidR="00D56F18" w:rsidRPr="00A71268">
        <w:rPr>
          <w:rFonts w:hint="eastAsia"/>
          <w:vertAlign w:val="subscript"/>
          <w:lang w:eastAsia="zh-CN"/>
        </w:rPr>
        <w:t>.</w:t>
      </w:r>
    </w:p>
    <w:p w14:paraId="4656623D" w14:textId="064A5853" w:rsidR="006401BE" w:rsidRDefault="005C5D5D">
      <w:pPr>
        <w:pStyle w:val="Heading1"/>
      </w:pPr>
      <w:r>
        <w:t xml:space="preserve">3 </w:t>
      </w:r>
      <w:r w:rsidR="00C7772C">
        <w:t>R</w:t>
      </w:r>
      <w:r>
        <w:t>esults</w:t>
      </w:r>
    </w:p>
    <w:p w14:paraId="77107FBC" w14:textId="2CBBF309" w:rsidR="00C7772C" w:rsidRDefault="00C7772C" w:rsidP="00676B50">
      <w:r w:rsidRPr="003743B8">
        <w:t>State</w:t>
      </w:r>
      <w:r w:rsidRPr="003743B8">
        <w:noBreakHyphen/>
        <w:t>space contraction preceding extreme rainfall</w:t>
      </w:r>
      <w:r w:rsidR="00030BA4" w:rsidRPr="003743B8">
        <w:t>:</w:t>
      </w:r>
      <w:r w:rsidRPr="00460D08">
        <w:t> For heavy and extreme rainfall (R4–R5), the interquartile range of IRH</w:t>
      </w:r>
      <w:r w:rsidR="0007165F">
        <w:t xml:space="preserve"> (Fig. 1)</w:t>
      </w:r>
      <w:r w:rsidRPr="00460D08">
        <w:t xml:space="preserve"> collapses by </w:t>
      </w:r>
      <w:r w:rsidR="00755734" w:rsidRPr="003743B8">
        <w:t>40</w:t>
      </w:r>
      <w:r w:rsidRPr="003743B8">
        <w:t>–</w:t>
      </w:r>
      <w:r w:rsidR="00755734" w:rsidRPr="003743B8">
        <w:t>76</w:t>
      </w:r>
      <w:r w:rsidRPr="003743B8">
        <w:t>%</w:t>
      </w:r>
      <w:r w:rsidRPr="00460D08">
        <w:t> during DR</w:t>
      </w:r>
      <w:r w:rsidR="00E17479" w:rsidRPr="00460D08">
        <w:t xml:space="preserve">, </w:t>
      </w:r>
      <w:r w:rsidRPr="00460D08">
        <w:t>indicat</w:t>
      </w:r>
      <w:r w:rsidR="00E17479" w:rsidRPr="00460D08">
        <w:t>ing</w:t>
      </w:r>
      <w:r w:rsidRPr="00460D08">
        <w:t xml:space="preserve"> </w:t>
      </w:r>
      <w:r w:rsidRPr="00460D08">
        <w:lastRenderedPageBreak/>
        <w:t>environmental homogenization.</w:t>
      </w:r>
      <w:r w:rsidR="00E17479" w:rsidRPr="00460D08">
        <w:t xml:space="preserve"> Light rain shows no contraction. </w:t>
      </w:r>
      <w:r w:rsidR="003F2658" w:rsidRPr="00460D08">
        <w:t xml:space="preserve">This is </w:t>
      </w:r>
      <w:r w:rsidR="00077C3E">
        <w:t xml:space="preserve">the </w:t>
      </w:r>
      <w:r w:rsidR="003F2658" w:rsidRPr="00460D08">
        <w:t xml:space="preserve">regional‑scale observational evidence of state‑space contraction preceding extreme monsoon rainfall, </w:t>
      </w:r>
      <w:r w:rsidR="003F2658" w:rsidRPr="003743B8">
        <w:rPr>
          <w:color w:val="000000" w:themeColor="text1"/>
        </w:rPr>
        <w:t>consistent with convective self‑aggregation theory</w:t>
      </w:r>
      <w:r w:rsidR="00BF66BC">
        <w:rPr>
          <w:color w:val="000000" w:themeColor="text1"/>
        </w:rPr>
        <w:t xml:space="preserve"> </w:t>
      </w:r>
      <w:sdt>
        <w:sdtPr>
          <w:rPr>
            <w:rFonts w:ascii="Cambria" w:hAnsi="Cambria"/>
            <w:color w:val="000000"/>
          </w:rPr>
          <w:tag w:val="MENDELEY_CITATION_v3_eyJjaXRhdGlvbklEIjoiTUVOREVMRVlfQ0lUQVRJT05fZjA4NTgxNGYtZjk0NC00NGFlLTg5YmEtNmQ4MjRkZDE4ZmIyIiwicHJvcGVydGllcyI6eyJub3RlSW5kZXgiOjB9LCJpc0VkaXRlZCI6ZmFsc2UsIm1hbnVhbE92ZXJyaWRlIjp7ImlzTWFudWFsbHlPdmVycmlkZGVuIjpmYWxzZSwiY2l0ZXByb2NUZXh0IjoiKFdpbmcgZXQgYWwuLCAyMDE3KSIsIm1hbnVhbE92ZXJyaWRlVGV4dCI6IiJ9LCJjaXRhdGlvbkl0ZW1zIjpbeyJpZCI6IjMwMjMyYjMxLTc5MWItMzQ2ZS04MTY1LTg2MmUxYzk1ZDJjNyIsIml0ZW1EYXRhIjp7InR5cGUiOiJhcnRpY2xlLWpvdXJuYWwiLCJpZCI6IjMwMjMyYjMxLTc5MWItMzQ2ZS04MTY1LTg2MmUxYzk1ZDJjNyIsInRpdGxlIjoiQ29udmVjdGl2ZSBTZWxmLUFnZ3JlZ2F0aW9uIGluIE51bWVyaWNhbCBTaW11bGF0aW9uczogQSBSZXZpZXciLCJhdXRob3IiOlt7ImZhbWlseSI6IldpbmciLCJnaXZlbiI6IkFsbGlzb24gQS4iLCJwYXJzZS1uYW1lcyI6ZmFsc2UsImRyb3BwaW5nLXBhcnRpY2xlIjoiIiwibm9uLWRyb3BwaW5nLXBhcnRpY2xlIjoiIn0seyJmYW1pbHkiOiJFbWFudWVsIiwiZ2l2ZW4iOiJLZXJyeSIsInBhcnNlLW5hbWVzIjpmYWxzZSwiZHJvcHBpbmctcGFydGljbGUiOiIiLCJub24tZHJvcHBpbmctcGFydGljbGUiOiIifSx7ImZhbWlseSI6IkhvbGxvd2F5IiwiZ2l2ZW4iOiJDaHJpc3RvcGhlciBFLiIsInBhcnNlLW5hbWVzIjpmYWxzZSwiZHJvcHBpbmctcGFydGljbGUiOiIiLCJub24tZHJvcHBpbmctcGFydGljbGUiOiIifSx7ImZhbWlseSI6Ik11bGxlciIsImdpdmVuIjoiQ2Fyb2xpbmUiLCJwYXJzZS1uYW1lcyI6ZmFsc2UsImRyb3BwaW5nLXBhcnRpY2xlIjoiIiwibm9uLWRyb3BwaW5nLXBhcnRpY2xlIjoiIn1dLCJjb250YWluZXItdGl0bGUiOiJTdXJ2ZXlzIGluIEdlb3BoeXNpY3MiLCJjb250YWluZXItdGl0bGUtc2hvcnQiOiJTdXJ2LiBHZW9waHlzLiIsIkRPSSI6IjEwLjEwMDcvczEwNzEyLTAxNy05NDA4LTQiLCJJU1NOIjoiMDE2OS0zMjk4IiwiVVJMIjoiaHR0cDovL2xpbmsuc3ByaW5nZXIuY29tLzEwLjEwMDcvczEwNzEyLTAxNy05NDA4LTQiLCJpc3N1ZWQiOnsiZGF0ZS1wYXJ0cyI6W1syMDE3LDExLDIyXV19LCJwYWdlIjoiMTE3My0xMTk3IiwiYWJzdHJhY3QiOiJPcmdhbml6ZWQgY29udmVjdGlvbiBpbiB0aGUgdHJvcGljcyBvY2N1cnMgYWNyb3NzIGEgcmFuZ2Ugb2Ygc3BhdGlhbCBhbmQgdGVtcG9yYWwgc2NhbGVzIGFuZCBzdHJvbmdseSBpbmZsdWVuY2VzIGNsb3VkIGNvdmVyIGFuZCBodW1pZGl0eS4gT25lIG1vZGUgb2Ygb3JnYW5pemF0aW9uIGZvdW5kIGlzIOKAnHNlbGYtYWdncmVnYXRpb24s4oCdIGluIHdoaWNoIG1vaXN0IGNvbnZlY3Rpb24gc3BvbnRhbmVvdXNseSBvcmdhbml6ZXMgaW50byBvbmUgb3Igc2V2ZXJhbCBpc29sYXRlZCBjbHVzdGVycyBkZXNwaXRlIHNwYXRpYWxseSBob21vZ2VuZW91cyBib3VuZGFyeSBjb25kaXRpb25zIGFuZCBmb3JjaW5nLiBTZWxmLWFnZ3JlZ2F0aW9uIGlzIGRyaXZlbiBieSBpbnRlcmFjdGlvbnMgYmV0d2VlbiBjbG91ZHMsIG1vaXN0dXJlLCByYWRpYXRpb24sIHN1cmZhY2UgZmx1eGVzLCBhbmQgY2lyY3VsYXRpb24sIGFuZCBvY2N1cnMgaW4gYSB3aWRlIHZhcmlldHkgb2YgaWRlYWxpemVkIHNpbXVsYXRpb25zIG9mIHJhZGlhdGl2ZeKAk2NvbnZlY3RpdmUgZXF1aWxpYnJpdW0uIEhlcmUgd2UgcHJvdmlkZSBhIHJldmlldyBvZiBjb252ZWN0aXZlIHNlbGYtYWdncmVnYXRpb24gaW4gbnVtZXJpY2FsIHNpbXVsYXRpb25zLCBpbmNsdWRpbmcgaXRzIGNoYXJhY3RlciwgY2F1c2VzLCBhbmQgZWZmZWN0cy4gV2UgZGVzY3JpYmUgdGhlIGV2b2x1dGlvbiBvZiBzZWxmLWFnZ3JlZ2F0aW9uIGluY2x1ZGluZyBpdHMgdGltZSBhbmQgbGVuZ3RoIHNjYWxlcyBhbmQgdGhlIHBoeXNpY2FsIG1lY2hhbmlzbXMgbGVhZGluZyB0byBpdHMgdHJpZ2dlcmluZyBhbmQgbWFpbnRlbmFuY2UsIGFuZCB3ZSBhbHNvIGRpc2N1c3MgcG9zc2libGUgbGlua3MgdG8gY2xpbWF0ZSBhbmQgY2xpbWF0ZSBjaGFuZ2UuIiwiaXNzdWUiOiI2Iiwidm9sdW1lIjoiMzgifSwiaXNUZW1wb3JhcnkiOmZhbHNlfV19"/>
          <w:id w:val="2099747578"/>
          <w:placeholder>
            <w:docPart w:val="DefaultPlaceholder_-1854013440"/>
          </w:placeholder>
        </w:sdtPr>
        <w:sdtContent>
          <w:r w:rsidR="00A73D59" w:rsidRPr="00A73D59">
            <w:rPr>
              <w:rFonts w:ascii="Cambria" w:hAnsi="Cambria"/>
              <w:color w:val="000000"/>
            </w:rPr>
            <w:t>(Wing et al., 2017)</w:t>
          </w:r>
        </w:sdtContent>
      </w:sdt>
      <w:r w:rsidR="003F2658" w:rsidRPr="003743B8">
        <w:rPr>
          <w:color w:val="000000" w:themeColor="text1"/>
        </w:rPr>
        <w:t>.</w:t>
      </w:r>
      <w:r w:rsidR="007E006A">
        <w:rPr>
          <w:color w:val="000000" w:themeColor="text1"/>
        </w:rPr>
        <w:t xml:space="preserve"> </w:t>
      </w:r>
      <w:r w:rsidR="0007165F">
        <w:rPr>
          <w:color w:val="000000" w:themeColor="text1"/>
        </w:rPr>
        <w:t xml:space="preserve"> </w:t>
      </w:r>
      <w:r w:rsidRPr="003743B8">
        <w:rPr>
          <w:color w:val="000000" w:themeColor="text1"/>
        </w:rPr>
        <w:t>Seasonal invariance and operational thresholds</w:t>
      </w:r>
      <w:r w:rsidR="00030BA4" w:rsidRPr="003743B8">
        <w:rPr>
          <w:color w:val="000000" w:themeColor="text1"/>
        </w:rPr>
        <w:t>:</w:t>
      </w:r>
      <w:r w:rsidRPr="003743B8">
        <w:rPr>
          <w:color w:val="000000" w:themeColor="text1"/>
        </w:rPr>
        <w:t> </w:t>
      </w:r>
      <w:r w:rsidR="00E17479" w:rsidRPr="003743B8">
        <w:rPr>
          <w:color w:val="000000" w:themeColor="text1"/>
        </w:rPr>
        <w:t>Baseline IRH differs by up to 24% across seasons (e.g., winter vs. summer), but anomaly</w:t>
      </w:r>
      <w:r w:rsidR="00E17479" w:rsidRPr="003743B8">
        <w:rPr>
          <w:color w:val="000000" w:themeColor="text1"/>
        </w:rPr>
        <w:noBreakHyphen/>
        <w:t xml:space="preserve">based thresholds </w:t>
      </w:r>
      <w:r w:rsidR="00895FAC">
        <w:rPr>
          <w:color w:val="000000" w:themeColor="text1"/>
        </w:rPr>
        <w:t>(Fig</w:t>
      </w:r>
      <w:r w:rsidR="004C5475">
        <w:rPr>
          <w:color w:val="000000" w:themeColor="text1"/>
        </w:rPr>
        <w:t>.1 lines)</w:t>
      </w:r>
      <w:r w:rsidR="00895FAC">
        <w:rPr>
          <w:color w:val="000000" w:themeColor="text1"/>
        </w:rPr>
        <w:t xml:space="preserve"> </w:t>
      </w:r>
      <w:r w:rsidR="00E17479" w:rsidRPr="003743B8">
        <w:rPr>
          <w:color w:val="000000" w:themeColor="text1"/>
        </w:rPr>
        <w:t>converge: ΔIRH</w:t>
      </w:r>
      <w:r w:rsidR="00E17479" w:rsidRPr="003743B8">
        <w:rPr>
          <w:color w:val="000000" w:themeColor="text1"/>
          <w:vertAlign w:val="subscript"/>
        </w:rPr>
        <w:t>500</w:t>
      </w:r>
      <w:r w:rsidR="00E17479" w:rsidRPr="003743B8">
        <w:rPr>
          <w:color w:val="000000" w:themeColor="text1"/>
        </w:rPr>
        <w:t>​ at DR varies</w:t>
      </w:r>
      <w:r w:rsidR="00DE2667">
        <w:rPr>
          <w:color w:val="000000" w:themeColor="text1"/>
        </w:rPr>
        <w:t xml:space="preserve"> with a</w:t>
      </w:r>
      <w:r w:rsidR="00DE2667" w:rsidRPr="00DE2667">
        <w:rPr>
          <w:color w:val="000000" w:themeColor="text1"/>
        </w:rPr>
        <w:t xml:space="preserve"> </w:t>
      </w:r>
      <w:r w:rsidR="00DE2667" w:rsidRPr="003743B8">
        <w:rPr>
          <w:color w:val="000000" w:themeColor="text1"/>
        </w:rPr>
        <w:t>coefficient of variation</w:t>
      </w:r>
      <w:r w:rsidR="00E17479" w:rsidRPr="003743B8">
        <w:rPr>
          <w:color w:val="000000" w:themeColor="text1"/>
        </w:rPr>
        <w:t xml:space="preserve"> &lt;</w:t>
      </w:r>
      <w:r w:rsidR="0046625D" w:rsidRPr="003743B8">
        <w:rPr>
          <w:color w:val="000000" w:themeColor="text1"/>
        </w:rPr>
        <w:t>10.</w:t>
      </w:r>
      <w:r w:rsidR="00E17479" w:rsidRPr="003743B8">
        <w:rPr>
          <w:color w:val="000000" w:themeColor="text1"/>
        </w:rPr>
        <w:t xml:space="preserve">4%. </w:t>
      </w:r>
      <w:r w:rsidR="009B4B69" w:rsidRPr="003743B8">
        <w:rPr>
          <w:color w:val="000000" w:themeColor="text1"/>
        </w:rPr>
        <w:t>E</w:t>
      </w:r>
      <w:r w:rsidR="00E17479" w:rsidRPr="003743B8">
        <w:rPr>
          <w:color w:val="000000" w:themeColor="text1"/>
        </w:rPr>
        <w:t xml:space="preserve">xtreme </w:t>
      </w:r>
      <w:r w:rsidR="00E7470B" w:rsidRPr="003743B8">
        <w:rPr>
          <w:color w:val="000000" w:themeColor="text1"/>
        </w:rPr>
        <w:t>events require</w:t>
      </w:r>
      <w:r w:rsidR="00676B50" w:rsidRPr="003743B8">
        <w:rPr>
          <w:color w:val="000000" w:themeColor="text1"/>
        </w:rPr>
        <w:t xml:space="preserve"> near-full-column saturation (IRH₅₀₀ ≥ 0.86) </w:t>
      </w:r>
      <w:r w:rsidR="00E17479" w:rsidRPr="003743B8">
        <w:rPr>
          <w:color w:val="000000" w:themeColor="text1"/>
        </w:rPr>
        <w:t>across all seasons</w:t>
      </w:r>
      <w:r w:rsidR="00E5782F" w:rsidRPr="003743B8">
        <w:rPr>
          <w:color w:val="000000" w:themeColor="text1"/>
        </w:rPr>
        <w:t>,</w:t>
      </w:r>
      <w:r w:rsidR="00F0338B" w:rsidRPr="003743B8">
        <w:rPr>
          <w:color w:val="000000" w:themeColor="text1"/>
        </w:rPr>
        <w:t xml:space="preserve"> with </w:t>
      </w:r>
      <w:r w:rsidR="00F0338B" w:rsidRPr="00460D08">
        <w:rPr>
          <w:color w:val="000000" w:themeColor="text1"/>
        </w:rPr>
        <w:t xml:space="preserve">Cohen’s d effect sizes </w:t>
      </w:r>
      <w:r w:rsidR="00E5782F" w:rsidRPr="00460D08">
        <w:rPr>
          <w:color w:val="000000" w:themeColor="text1"/>
        </w:rPr>
        <w:t xml:space="preserve">up to 1.0 </w:t>
      </w:r>
      <w:r w:rsidR="00DE2667">
        <w:rPr>
          <w:color w:val="000000" w:themeColor="text1"/>
        </w:rPr>
        <w:t xml:space="preserve">for </w:t>
      </w:r>
      <w:r w:rsidR="00DE2667" w:rsidRPr="00460D08">
        <w:rPr>
          <w:color w:val="000000" w:themeColor="text1"/>
        </w:rPr>
        <w:t>IRH</w:t>
      </w:r>
      <w:r w:rsidR="00DE2667" w:rsidRPr="00460D08">
        <w:rPr>
          <w:color w:val="000000" w:themeColor="text1"/>
          <w:vertAlign w:val="subscript"/>
        </w:rPr>
        <w:t>500</w:t>
      </w:r>
      <w:r w:rsidR="00DE2667">
        <w:rPr>
          <w:color w:val="000000" w:themeColor="text1"/>
          <w:vertAlign w:val="subscript"/>
        </w:rPr>
        <w:t xml:space="preserve"> </w:t>
      </w:r>
      <w:r w:rsidR="00E637F9" w:rsidRPr="00460D08">
        <w:rPr>
          <w:color w:val="000000" w:themeColor="text1"/>
        </w:rPr>
        <w:t>between moderate-to-heavy and heavy</w:t>
      </w:r>
      <w:r w:rsidR="00E637F9" w:rsidRPr="00E637F9">
        <w:rPr>
          <w:color w:val="000000" w:themeColor="text1"/>
        </w:rPr>
        <w:t>-to-extreme rainfall events</w:t>
      </w:r>
      <w:r w:rsidR="00C06A93">
        <w:rPr>
          <w:color w:val="000000" w:themeColor="text1"/>
        </w:rPr>
        <w:t>,</w:t>
      </w:r>
      <w:r w:rsidR="00F0338B" w:rsidRPr="00D22E42">
        <w:rPr>
          <w:color w:val="000000" w:themeColor="text1"/>
        </w:rPr>
        <w:t xml:space="preserve"> </w:t>
      </w:r>
      <w:r w:rsidR="00E17479" w:rsidRPr="00E17479">
        <w:t xml:space="preserve">enabling </w:t>
      </w:r>
      <w:r w:rsidR="00030BA4" w:rsidRPr="00030BA4">
        <w:t>a single year‑round operational criterion.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E17479" w14:paraId="2BEFC961" w14:textId="77777777" w:rsidTr="00D22E42">
        <w:tc>
          <w:tcPr>
            <w:tcW w:w="8856" w:type="dxa"/>
          </w:tcPr>
          <w:p w14:paraId="7FC461FB" w14:textId="1217B5E8" w:rsidR="00E17479" w:rsidRDefault="00605AF0" w:rsidP="00A71268">
            <w:pPr>
              <w:rPr>
                <w:shd w:val="pct15" w:color="auto" w:fill="FFFFFF"/>
                <w:lang w:eastAsia="zh-CN"/>
              </w:rPr>
            </w:pPr>
            <w:r>
              <w:rPr>
                <w:rFonts w:cstheme="minorHAnsi" w:hint="eastAsia"/>
                <w:noProof/>
                <w:color w:val="000000" w:themeColor="text1"/>
              </w:rPr>
              <w:drawing>
                <wp:inline distT="0" distB="0" distL="0" distR="0" wp14:anchorId="5E9D6AAE" wp14:editId="14C99429">
                  <wp:extent cx="5576439" cy="3034454"/>
                  <wp:effectExtent l="0" t="0" r="0" b="1270"/>
                  <wp:docPr id="201856720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67204" name="Picture 1" descr="A screenshot of a graph&#10;&#10;Description automatically generated"/>
                          <pic:cNvPicPr/>
                        </pic:nvPicPr>
                        <pic:blipFill rotWithShape="1">
                          <a:blip r:embed="rId6"/>
                          <a:srcRect l="7654" r="1502"/>
                          <a:stretch/>
                        </pic:blipFill>
                        <pic:spPr bwMode="auto">
                          <a:xfrm>
                            <a:off x="0" y="0"/>
                            <a:ext cx="5617586" cy="3056844"/>
                          </a:xfrm>
                          <a:prstGeom prst="rect">
                            <a:avLst/>
                          </a:prstGeom>
                          <a:ln>
                            <a:noFill/>
                          </a:ln>
                          <a:extLst>
                            <a:ext uri="{53640926-AAD7-44D8-BBD7-CCE9431645EC}">
                              <a14:shadowObscured xmlns:a14="http://schemas.microsoft.com/office/drawing/2010/main"/>
                            </a:ext>
                          </a:extLst>
                        </pic:spPr>
                      </pic:pic>
                    </a:graphicData>
                  </a:graphic>
                </wp:inline>
              </w:drawing>
            </w:r>
          </w:p>
        </w:tc>
      </w:tr>
      <w:tr w:rsidR="00E17479" w14:paraId="7FCF366C" w14:textId="77777777" w:rsidTr="00D22E42">
        <w:tc>
          <w:tcPr>
            <w:tcW w:w="8856" w:type="dxa"/>
          </w:tcPr>
          <w:p w14:paraId="290D56FF" w14:textId="6FA94E85" w:rsidR="0046229A" w:rsidRPr="00D22E42" w:rsidRDefault="00E17479" w:rsidP="00F96080">
            <w:pPr>
              <w:spacing w:after="200" w:line="276" w:lineRule="auto"/>
              <w:rPr>
                <w:i/>
                <w:iCs/>
              </w:rPr>
            </w:pPr>
            <w:r w:rsidRPr="00C7772C">
              <w:rPr>
                <w:i/>
                <w:iCs/>
              </w:rPr>
              <w:t>Figure 1. </w:t>
            </w:r>
            <w:r w:rsidR="00F96080" w:rsidRPr="00D22E42">
              <w:rPr>
                <w:i/>
                <w:iCs/>
              </w:rPr>
              <w:t>L</w:t>
            </w:r>
            <w:r w:rsidRPr="00D22E42">
              <w:rPr>
                <w:i/>
                <w:iCs/>
              </w:rPr>
              <w:t>ifecycle</w:t>
            </w:r>
            <w:r w:rsidR="00F96080">
              <w:rPr>
                <w:b/>
                <w:bCs/>
                <w:i/>
                <w:iCs/>
              </w:rPr>
              <w:t xml:space="preserve"> </w:t>
            </w:r>
            <w:r w:rsidR="00F96080">
              <w:rPr>
                <w:i/>
                <w:iCs/>
              </w:rPr>
              <w:t>i</w:t>
            </w:r>
            <w:r w:rsidRPr="00C7772C">
              <w:rPr>
                <w:i/>
                <w:iCs/>
              </w:rPr>
              <w:t>nterquartile range (IQR</w:t>
            </w:r>
            <w:r w:rsidR="0046229A" w:rsidRPr="0046229A">
              <w:rPr>
                <w:i/>
                <w:iCs/>
              </w:rPr>
              <w:t>, color</w:t>
            </w:r>
            <w:r w:rsidR="00C82607">
              <w:rPr>
                <w:i/>
                <w:iCs/>
              </w:rPr>
              <w:t xml:space="preserve"> </w:t>
            </w:r>
            <w:r w:rsidR="0046229A" w:rsidRPr="0046229A">
              <w:rPr>
                <w:i/>
                <w:iCs/>
              </w:rPr>
              <w:t>shading</w:t>
            </w:r>
            <w:r w:rsidRPr="00C7772C">
              <w:rPr>
                <w:i/>
                <w:iCs/>
              </w:rPr>
              <w:t xml:space="preserve">) of IRH₅₀₀ </w:t>
            </w:r>
            <w:r w:rsidR="00C82607">
              <w:rPr>
                <w:i/>
                <w:iCs/>
              </w:rPr>
              <w:t xml:space="preserve">and </w:t>
            </w:r>
            <w:r w:rsidR="00C82607" w:rsidRPr="0046229A">
              <w:rPr>
                <w:i/>
                <w:iCs/>
              </w:rPr>
              <w:t>IRH anomaly (ΔIRH, lines) relative to the seasonal no-rain</w:t>
            </w:r>
            <w:r w:rsidR="00C82607">
              <w:rPr>
                <w:i/>
                <w:iCs/>
              </w:rPr>
              <w:t xml:space="preserve"> </w:t>
            </w:r>
            <w:r w:rsidR="00C82607" w:rsidRPr="0046229A">
              <w:rPr>
                <w:i/>
                <w:iCs/>
              </w:rPr>
              <w:t>baseline</w:t>
            </w:r>
            <w:r w:rsidR="00C82607">
              <w:rPr>
                <w:i/>
                <w:iCs/>
              </w:rPr>
              <w:t xml:space="preserve"> </w:t>
            </w:r>
            <w:r w:rsidRPr="00C7772C">
              <w:rPr>
                <w:i/>
                <w:iCs/>
              </w:rPr>
              <w:t>across</w:t>
            </w:r>
            <w:r w:rsidR="00F96080" w:rsidRPr="0046229A">
              <w:rPr>
                <w:i/>
                <w:iCs/>
              </w:rPr>
              <w:t xml:space="preserve"> four monsoon seasons (DJF</w:t>
            </w:r>
            <w:r w:rsidR="00461453">
              <w:rPr>
                <w:i/>
                <w:iCs/>
              </w:rPr>
              <w:t>,</w:t>
            </w:r>
            <w:r w:rsidR="00F96080" w:rsidRPr="0046229A">
              <w:rPr>
                <w:i/>
                <w:iCs/>
              </w:rPr>
              <w:t xml:space="preserve"> MAM</w:t>
            </w:r>
            <w:r w:rsidR="00461453">
              <w:rPr>
                <w:i/>
                <w:iCs/>
              </w:rPr>
              <w:t>,</w:t>
            </w:r>
            <w:r w:rsidR="00F96080" w:rsidRPr="0046229A">
              <w:rPr>
                <w:i/>
                <w:iCs/>
              </w:rPr>
              <w:t xml:space="preserve"> JJAS</w:t>
            </w:r>
            <w:r w:rsidR="00461453">
              <w:rPr>
                <w:i/>
                <w:iCs/>
              </w:rPr>
              <w:t>,</w:t>
            </w:r>
            <w:r w:rsidR="00F96080" w:rsidRPr="0046229A">
              <w:rPr>
                <w:i/>
                <w:iCs/>
              </w:rPr>
              <w:t xml:space="preserve"> ON).</w:t>
            </w:r>
          </w:p>
        </w:tc>
      </w:tr>
    </w:tbl>
    <w:p w14:paraId="4A4F524D" w14:textId="429B965B" w:rsidR="00E17479" w:rsidRPr="00E17479" w:rsidRDefault="00605AF0" w:rsidP="00E17479">
      <w:r w:rsidRPr="00E17479">
        <w:t xml:space="preserve">The framework provides a physically grounded, vertically resolved diagnostic </w:t>
      </w:r>
      <w:r w:rsidR="007326DC">
        <w:t>for operational</w:t>
      </w:r>
      <w:r w:rsidR="00E17479" w:rsidRPr="00E17479">
        <w:t xml:space="preserve"> nowcasting: monitoring IRH₅₀₀</w:t>
      </w:r>
      <w:r w:rsidR="002E6893">
        <w:t xml:space="preserve"> offers</w:t>
      </w:r>
      <w:r w:rsidR="00F0338B">
        <w:t xml:space="preserve"> </w:t>
      </w:r>
      <w:r w:rsidR="00E17479">
        <w:t xml:space="preserve">a </w:t>
      </w:r>
      <w:r w:rsidR="00E17479" w:rsidRPr="00E17479">
        <w:t xml:space="preserve">robust indication of lifecycle stage and eventual intensity. </w:t>
      </w:r>
      <w:r w:rsidR="0092131E">
        <w:t>S</w:t>
      </w:r>
      <w:r w:rsidR="00E17479" w:rsidRPr="00E17479">
        <w:t xml:space="preserve">easonal invariance allows </w:t>
      </w:r>
      <w:r w:rsidR="00E71C03">
        <w:t xml:space="preserve">for </w:t>
      </w:r>
      <w:r w:rsidR="00E17479" w:rsidRPr="00E17479">
        <w:t xml:space="preserve">a single threshold </w:t>
      </w:r>
      <w:r w:rsidR="00E71C03">
        <w:t xml:space="preserve">to be </w:t>
      </w:r>
      <w:r w:rsidR="00E17479" w:rsidRPr="00E17479">
        <w:t>set year</w:t>
      </w:r>
      <w:r w:rsidR="0092131E">
        <w:t>-</w:t>
      </w:r>
      <w:r w:rsidR="00E17479" w:rsidRPr="00E17479">
        <w:t>round.</w:t>
      </w:r>
      <w:r w:rsidR="005F3994">
        <w:t xml:space="preserve"> </w:t>
      </w:r>
      <w:r w:rsidR="009226D2">
        <w:t>Limitations: S</w:t>
      </w:r>
      <w:r w:rsidR="00E17479" w:rsidRPr="00E17479">
        <w:t>ingle</w:t>
      </w:r>
      <w:r w:rsidR="00E17479" w:rsidRPr="00E17479">
        <w:noBreakHyphen/>
        <w:t xml:space="preserve">site analysis (Hong Kong); ERA5 dry biases above 500 hPa; 0.25° resolution cannot resolve individual convective cells. </w:t>
      </w:r>
      <w:r w:rsidR="00030BA4">
        <w:t>F</w:t>
      </w:r>
      <w:r w:rsidR="00E17479" w:rsidRPr="00E17479">
        <w:t>uture work will extend to other monsoon regions and integrate higher</w:t>
      </w:r>
      <w:r w:rsidR="00E17479" w:rsidRPr="00E17479">
        <w:noBreakHyphen/>
        <w:t>resolution models.</w:t>
      </w:r>
    </w:p>
    <w:p w14:paraId="43D103D6" w14:textId="77777777" w:rsidR="006401BE" w:rsidRDefault="005C5D5D">
      <w:pPr>
        <w:pStyle w:val="Heading1"/>
      </w:pPr>
      <w:r>
        <w:t>References</w:t>
      </w:r>
    </w:p>
    <w:sdt>
      <w:sdtPr>
        <w:rPr>
          <w:rFonts w:ascii="Cambria" w:hAnsi="Cambria"/>
          <w:color w:val="000000"/>
          <w:shd w:val="pct15" w:color="auto" w:fill="FFFFFF"/>
        </w:rPr>
        <w:tag w:val="MENDELEY_BIBLIOGRAPHY"/>
        <w:id w:val="-589929072"/>
        <w:placeholder>
          <w:docPart w:val="DefaultPlaceholder_-1854013440"/>
        </w:placeholder>
      </w:sdtPr>
      <w:sdtContent>
        <w:p w14:paraId="5CDDA143" w14:textId="77777777" w:rsidR="00F967FC" w:rsidRPr="00F967FC" w:rsidRDefault="00F967FC">
          <w:pPr>
            <w:autoSpaceDE w:val="0"/>
            <w:autoSpaceDN w:val="0"/>
            <w:ind w:hanging="480"/>
            <w:divId w:val="652367939"/>
            <w:rPr>
              <w:rFonts w:ascii="Cambria" w:eastAsia="Times New Roman" w:hAnsi="Cambria"/>
              <w:color w:val="000000"/>
              <w:szCs w:val="24"/>
            </w:rPr>
          </w:pPr>
          <w:r w:rsidRPr="00F967FC">
            <w:rPr>
              <w:rFonts w:ascii="Cambria" w:eastAsia="Times New Roman" w:hAnsi="Cambria"/>
              <w:color w:val="000000"/>
            </w:rPr>
            <w:t xml:space="preserve">Ahmed, F., &amp; </w:t>
          </w:r>
          <w:proofErr w:type="spellStart"/>
          <w:r w:rsidRPr="00F967FC">
            <w:rPr>
              <w:rFonts w:ascii="Cambria" w:eastAsia="Times New Roman" w:hAnsi="Cambria"/>
              <w:color w:val="000000"/>
            </w:rPr>
            <w:t>Neelin</w:t>
          </w:r>
          <w:proofErr w:type="spellEnd"/>
          <w:r w:rsidRPr="00F967FC">
            <w:rPr>
              <w:rFonts w:ascii="Cambria" w:eastAsia="Times New Roman" w:hAnsi="Cambria"/>
              <w:color w:val="000000"/>
            </w:rPr>
            <w:t xml:space="preserve">, J. D. (2018). Reverse Engineering the Tropical Precipitation–Buoyancy Relationship. </w:t>
          </w:r>
          <w:r w:rsidRPr="00F967FC">
            <w:rPr>
              <w:rFonts w:ascii="Cambria" w:eastAsia="Times New Roman" w:hAnsi="Cambria"/>
              <w:i/>
              <w:iCs/>
              <w:color w:val="000000"/>
            </w:rPr>
            <w:t>Journal of the Atmospheric Sciences</w:t>
          </w:r>
          <w:r w:rsidRPr="00F967FC">
            <w:rPr>
              <w:rFonts w:ascii="Cambria" w:eastAsia="Times New Roman" w:hAnsi="Cambria"/>
              <w:color w:val="000000"/>
            </w:rPr>
            <w:t xml:space="preserve">, </w:t>
          </w:r>
          <w:r w:rsidRPr="00F967FC">
            <w:rPr>
              <w:rFonts w:ascii="Cambria" w:eastAsia="Times New Roman" w:hAnsi="Cambria"/>
              <w:i/>
              <w:iCs/>
              <w:color w:val="000000"/>
            </w:rPr>
            <w:t>75</w:t>
          </w:r>
          <w:r w:rsidRPr="00F967FC">
            <w:rPr>
              <w:rFonts w:ascii="Cambria" w:eastAsia="Times New Roman" w:hAnsi="Cambria"/>
              <w:color w:val="000000"/>
            </w:rPr>
            <w:t>(5), 1587–1608. https://doi.org/10.1175/JAS-D-17-0333.1</w:t>
          </w:r>
        </w:p>
        <w:p w14:paraId="3D806886" w14:textId="77777777" w:rsidR="00F967FC" w:rsidRPr="00F967FC" w:rsidRDefault="00F967FC">
          <w:pPr>
            <w:autoSpaceDE w:val="0"/>
            <w:autoSpaceDN w:val="0"/>
            <w:ind w:hanging="480"/>
            <w:divId w:val="629701710"/>
            <w:rPr>
              <w:rFonts w:ascii="Cambria" w:eastAsia="Times New Roman" w:hAnsi="Cambria"/>
              <w:color w:val="000000"/>
            </w:rPr>
          </w:pPr>
          <w:r w:rsidRPr="00F967FC">
            <w:rPr>
              <w:rFonts w:ascii="Cambria" w:eastAsia="Times New Roman" w:hAnsi="Cambria"/>
              <w:color w:val="000000"/>
            </w:rPr>
            <w:lastRenderedPageBreak/>
            <w:t xml:space="preserve">Derbyshire, S. H., Beau, I., Bechtold, P., </w:t>
          </w:r>
          <w:proofErr w:type="spellStart"/>
          <w:r w:rsidRPr="00F967FC">
            <w:rPr>
              <w:rFonts w:ascii="Cambria" w:eastAsia="Times New Roman" w:hAnsi="Cambria"/>
              <w:color w:val="000000"/>
            </w:rPr>
            <w:t>Grandpeix</w:t>
          </w:r>
          <w:proofErr w:type="spellEnd"/>
          <w:r w:rsidRPr="00F967FC">
            <w:rPr>
              <w:rFonts w:ascii="Cambria" w:eastAsia="Times New Roman" w:hAnsi="Cambria"/>
              <w:color w:val="000000"/>
            </w:rPr>
            <w:t xml:space="preserve">, J. ‐Y., </w:t>
          </w:r>
          <w:proofErr w:type="spellStart"/>
          <w:r w:rsidRPr="00F967FC">
            <w:rPr>
              <w:rFonts w:ascii="Cambria" w:eastAsia="Times New Roman" w:hAnsi="Cambria"/>
              <w:color w:val="000000"/>
            </w:rPr>
            <w:t>Piriou</w:t>
          </w:r>
          <w:proofErr w:type="spellEnd"/>
          <w:r w:rsidRPr="00F967FC">
            <w:rPr>
              <w:rFonts w:ascii="Cambria" w:eastAsia="Times New Roman" w:hAnsi="Cambria"/>
              <w:color w:val="000000"/>
            </w:rPr>
            <w:t xml:space="preserve">, J. ‐M., </w:t>
          </w:r>
          <w:proofErr w:type="spellStart"/>
          <w:r w:rsidRPr="00F967FC">
            <w:rPr>
              <w:rFonts w:ascii="Cambria" w:eastAsia="Times New Roman" w:hAnsi="Cambria"/>
              <w:color w:val="000000"/>
            </w:rPr>
            <w:t>Redelsperger</w:t>
          </w:r>
          <w:proofErr w:type="spellEnd"/>
          <w:r w:rsidRPr="00F967FC">
            <w:rPr>
              <w:rFonts w:ascii="Cambria" w:eastAsia="Times New Roman" w:hAnsi="Cambria"/>
              <w:color w:val="000000"/>
            </w:rPr>
            <w:t xml:space="preserve">, J. ‐L., &amp; Soares, P. M. M. (2004). Sensitivity of moist convection to environmental humidity. </w:t>
          </w:r>
          <w:r w:rsidRPr="00F967FC">
            <w:rPr>
              <w:rFonts w:ascii="Cambria" w:eastAsia="Times New Roman" w:hAnsi="Cambria"/>
              <w:i/>
              <w:iCs/>
              <w:color w:val="000000"/>
            </w:rPr>
            <w:t>Quarterly Journal of the Royal Meteorological Society</w:t>
          </w:r>
          <w:r w:rsidRPr="00F967FC">
            <w:rPr>
              <w:rFonts w:ascii="Cambria" w:eastAsia="Times New Roman" w:hAnsi="Cambria"/>
              <w:color w:val="000000"/>
            </w:rPr>
            <w:t xml:space="preserve">, </w:t>
          </w:r>
          <w:r w:rsidRPr="00F967FC">
            <w:rPr>
              <w:rFonts w:ascii="Cambria" w:eastAsia="Times New Roman" w:hAnsi="Cambria"/>
              <w:i/>
              <w:iCs/>
              <w:color w:val="000000"/>
            </w:rPr>
            <w:t>130</w:t>
          </w:r>
          <w:r w:rsidRPr="00F967FC">
            <w:rPr>
              <w:rFonts w:ascii="Cambria" w:eastAsia="Times New Roman" w:hAnsi="Cambria"/>
              <w:color w:val="000000"/>
            </w:rPr>
            <w:t>(604), 3055–3079. https://doi.org/10.1256/qj.03.130</w:t>
          </w:r>
        </w:p>
        <w:p w14:paraId="0236A6B7" w14:textId="77777777" w:rsidR="00F967FC" w:rsidRPr="00F967FC" w:rsidRDefault="00F967FC">
          <w:pPr>
            <w:autoSpaceDE w:val="0"/>
            <w:autoSpaceDN w:val="0"/>
            <w:ind w:hanging="480"/>
            <w:divId w:val="1849296948"/>
            <w:rPr>
              <w:rFonts w:ascii="Cambria" w:eastAsia="Times New Roman" w:hAnsi="Cambria"/>
              <w:color w:val="000000"/>
            </w:rPr>
          </w:pPr>
          <w:r w:rsidRPr="00F967FC">
            <w:rPr>
              <w:rFonts w:ascii="Cambria" w:eastAsia="Times New Roman" w:hAnsi="Cambria"/>
              <w:color w:val="000000"/>
            </w:rPr>
            <w:t xml:space="preserve">Holloway, C. E., &amp; </w:t>
          </w:r>
          <w:proofErr w:type="spellStart"/>
          <w:r w:rsidRPr="00F967FC">
            <w:rPr>
              <w:rFonts w:ascii="Cambria" w:eastAsia="Times New Roman" w:hAnsi="Cambria"/>
              <w:color w:val="000000"/>
            </w:rPr>
            <w:t>Neelin</w:t>
          </w:r>
          <w:proofErr w:type="spellEnd"/>
          <w:r w:rsidRPr="00F967FC">
            <w:rPr>
              <w:rFonts w:ascii="Cambria" w:eastAsia="Times New Roman" w:hAnsi="Cambria"/>
              <w:color w:val="000000"/>
            </w:rPr>
            <w:t xml:space="preserve">, J. D. (2009). Moisture Vertical Structure, Column Water Vapor, and Tropical Deep Convection. </w:t>
          </w:r>
          <w:r w:rsidRPr="00F967FC">
            <w:rPr>
              <w:rFonts w:ascii="Cambria" w:eastAsia="Times New Roman" w:hAnsi="Cambria"/>
              <w:i/>
              <w:iCs/>
              <w:color w:val="000000"/>
            </w:rPr>
            <w:t>Journal of the Atmospheric Sciences</w:t>
          </w:r>
          <w:r w:rsidRPr="00F967FC">
            <w:rPr>
              <w:rFonts w:ascii="Cambria" w:eastAsia="Times New Roman" w:hAnsi="Cambria"/>
              <w:color w:val="000000"/>
            </w:rPr>
            <w:t xml:space="preserve">, </w:t>
          </w:r>
          <w:r w:rsidRPr="00F967FC">
            <w:rPr>
              <w:rFonts w:ascii="Cambria" w:eastAsia="Times New Roman" w:hAnsi="Cambria"/>
              <w:i/>
              <w:iCs/>
              <w:color w:val="000000"/>
            </w:rPr>
            <w:t>66</w:t>
          </w:r>
          <w:r w:rsidRPr="00F967FC">
            <w:rPr>
              <w:rFonts w:ascii="Cambria" w:eastAsia="Times New Roman" w:hAnsi="Cambria"/>
              <w:color w:val="000000"/>
            </w:rPr>
            <w:t>(6), 1665–1683. https://doi.org/10.1175/2008JAS2806.1</w:t>
          </w:r>
        </w:p>
        <w:p w14:paraId="05A65948" w14:textId="77777777" w:rsidR="00F967FC" w:rsidRPr="00F967FC" w:rsidRDefault="00F967FC">
          <w:pPr>
            <w:autoSpaceDE w:val="0"/>
            <w:autoSpaceDN w:val="0"/>
            <w:ind w:hanging="480"/>
            <w:divId w:val="1269120899"/>
            <w:rPr>
              <w:rFonts w:ascii="Cambria" w:eastAsia="Times New Roman" w:hAnsi="Cambria"/>
              <w:color w:val="000000"/>
            </w:rPr>
          </w:pPr>
          <w:proofErr w:type="spellStart"/>
          <w:r w:rsidRPr="00F967FC">
            <w:rPr>
              <w:rFonts w:ascii="Cambria" w:eastAsia="Times New Roman" w:hAnsi="Cambria"/>
              <w:color w:val="000000"/>
            </w:rPr>
            <w:t>Schiro</w:t>
          </w:r>
          <w:proofErr w:type="spellEnd"/>
          <w:r w:rsidRPr="00F967FC">
            <w:rPr>
              <w:rFonts w:ascii="Cambria" w:eastAsia="Times New Roman" w:hAnsi="Cambria"/>
              <w:color w:val="000000"/>
            </w:rPr>
            <w:t xml:space="preserve">, K. A., &amp; </w:t>
          </w:r>
          <w:proofErr w:type="spellStart"/>
          <w:r w:rsidRPr="00F967FC">
            <w:rPr>
              <w:rFonts w:ascii="Cambria" w:eastAsia="Times New Roman" w:hAnsi="Cambria"/>
              <w:color w:val="000000"/>
            </w:rPr>
            <w:t>Neelin</w:t>
          </w:r>
          <w:proofErr w:type="spellEnd"/>
          <w:r w:rsidRPr="00F967FC">
            <w:rPr>
              <w:rFonts w:ascii="Cambria" w:eastAsia="Times New Roman" w:hAnsi="Cambria"/>
              <w:color w:val="000000"/>
            </w:rPr>
            <w:t xml:space="preserve">, J. D. (2019). Deep Convective Organization, Moisture Vertical Structure, and Convective Transition Using Deep-Inflow Mixing. </w:t>
          </w:r>
          <w:r w:rsidRPr="00F967FC">
            <w:rPr>
              <w:rFonts w:ascii="Cambria" w:eastAsia="Times New Roman" w:hAnsi="Cambria"/>
              <w:i/>
              <w:iCs/>
              <w:color w:val="000000"/>
            </w:rPr>
            <w:t>Journal of the Atmospheric Sciences</w:t>
          </w:r>
          <w:r w:rsidRPr="00F967FC">
            <w:rPr>
              <w:rFonts w:ascii="Cambria" w:eastAsia="Times New Roman" w:hAnsi="Cambria"/>
              <w:color w:val="000000"/>
            </w:rPr>
            <w:t xml:space="preserve">, </w:t>
          </w:r>
          <w:r w:rsidRPr="00F967FC">
            <w:rPr>
              <w:rFonts w:ascii="Cambria" w:eastAsia="Times New Roman" w:hAnsi="Cambria"/>
              <w:i/>
              <w:iCs/>
              <w:color w:val="000000"/>
            </w:rPr>
            <w:t>76</w:t>
          </w:r>
          <w:r w:rsidRPr="00F967FC">
            <w:rPr>
              <w:rFonts w:ascii="Cambria" w:eastAsia="Times New Roman" w:hAnsi="Cambria"/>
              <w:color w:val="000000"/>
            </w:rPr>
            <w:t>(4), 965–987. https://doi.org/10.1175/JAS-D-18-0122.1</w:t>
          </w:r>
        </w:p>
        <w:p w14:paraId="59BBC55F" w14:textId="77777777" w:rsidR="00F967FC" w:rsidRPr="00F967FC" w:rsidRDefault="00F967FC">
          <w:pPr>
            <w:autoSpaceDE w:val="0"/>
            <w:autoSpaceDN w:val="0"/>
            <w:ind w:hanging="480"/>
            <w:divId w:val="234900629"/>
            <w:rPr>
              <w:rFonts w:ascii="Cambria" w:eastAsia="Times New Roman" w:hAnsi="Cambria"/>
              <w:color w:val="000000"/>
            </w:rPr>
          </w:pPr>
          <w:r w:rsidRPr="00F967FC">
            <w:rPr>
              <w:rFonts w:ascii="Cambria" w:eastAsia="Times New Roman" w:hAnsi="Cambria"/>
              <w:color w:val="000000"/>
            </w:rPr>
            <w:t xml:space="preserve">Wing, A. A., Emanuel, K., Holloway, C. E., &amp; Muller, C. (2017). Convective Self-Aggregation in Numerical Simulations: A Review. </w:t>
          </w:r>
          <w:r w:rsidRPr="00F967FC">
            <w:rPr>
              <w:rFonts w:ascii="Cambria" w:eastAsia="Times New Roman" w:hAnsi="Cambria"/>
              <w:i/>
              <w:iCs/>
              <w:color w:val="000000"/>
            </w:rPr>
            <w:t>Surveys in Geophysics</w:t>
          </w:r>
          <w:r w:rsidRPr="00F967FC">
            <w:rPr>
              <w:rFonts w:ascii="Cambria" w:eastAsia="Times New Roman" w:hAnsi="Cambria"/>
              <w:color w:val="000000"/>
            </w:rPr>
            <w:t xml:space="preserve">, </w:t>
          </w:r>
          <w:r w:rsidRPr="00F967FC">
            <w:rPr>
              <w:rFonts w:ascii="Cambria" w:eastAsia="Times New Roman" w:hAnsi="Cambria"/>
              <w:i/>
              <w:iCs/>
              <w:color w:val="000000"/>
            </w:rPr>
            <w:t>38</w:t>
          </w:r>
          <w:r w:rsidRPr="00F967FC">
            <w:rPr>
              <w:rFonts w:ascii="Cambria" w:eastAsia="Times New Roman" w:hAnsi="Cambria"/>
              <w:color w:val="000000"/>
            </w:rPr>
            <w:t>(6), 1173–1197. https://doi.org/10.1007/s10712-017-9408-4</w:t>
          </w:r>
        </w:p>
        <w:p w14:paraId="71AB9429" w14:textId="138FB06A" w:rsidR="006401BE" w:rsidRPr="0066411F" w:rsidRDefault="00F967FC" w:rsidP="00C7772C">
          <w:pPr>
            <w:rPr>
              <w:shd w:val="pct15" w:color="auto" w:fill="FFFFFF"/>
            </w:rPr>
          </w:pPr>
          <w:r w:rsidRPr="00F967FC">
            <w:rPr>
              <w:rFonts w:ascii="Cambria" w:eastAsia="Times New Roman" w:hAnsi="Cambria"/>
              <w:color w:val="000000"/>
            </w:rPr>
            <w:t> </w:t>
          </w:r>
        </w:p>
      </w:sdtContent>
    </w:sdt>
    <w:sectPr w:rsidR="006401BE" w:rsidRPr="006641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7710137">
    <w:abstractNumId w:val="8"/>
  </w:num>
  <w:num w:numId="2" w16cid:durableId="946235234">
    <w:abstractNumId w:val="6"/>
  </w:num>
  <w:num w:numId="3" w16cid:durableId="1709453862">
    <w:abstractNumId w:val="5"/>
  </w:num>
  <w:num w:numId="4" w16cid:durableId="1169754429">
    <w:abstractNumId w:val="4"/>
  </w:num>
  <w:num w:numId="5" w16cid:durableId="1264613575">
    <w:abstractNumId w:val="7"/>
  </w:num>
  <w:num w:numId="6" w16cid:durableId="191305654">
    <w:abstractNumId w:val="3"/>
  </w:num>
  <w:num w:numId="7" w16cid:durableId="1127088158">
    <w:abstractNumId w:val="2"/>
  </w:num>
  <w:num w:numId="8" w16cid:durableId="2035106368">
    <w:abstractNumId w:val="1"/>
  </w:num>
  <w:num w:numId="9" w16cid:durableId="1451973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98"/>
    <w:rsid w:val="0002105F"/>
    <w:rsid w:val="00030BA4"/>
    <w:rsid w:val="00032363"/>
    <w:rsid w:val="00034616"/>
    <w:rsid w:val="00045682"/>
    <w:rsid w:val="0006063C"/>
    <w:rsid w:val="00061289"/>
    <w:rsid w:val="0007165F"/>
    <w:rsid w:val="000736D8"/>
    <w:rsid w:val="00077C3E"/>
    <w:rsid w:val="000A5763"/>
    <w:rsid w:val="000C777A"/>
    <w:rsid w:val="000D39DC"/>
    <w:rsid w:val="000F1DAB"/>
    <w:rsid w:val="00100F62"/>
    <w:rsid w:val="001175D2"/>
    <w:rsid w:val="0015074B"/>
    <w:rsid w:val="001879DB"/>
    <w:rsid w:val="002700F4"/>
    <w:rsid w:val="002728D5"/>
    <w:rsid w:val="002930B6"/>
    <w:rsid w:val="0029639D"/>
    <w:rsid w:val="002E6893"/>
    <w:rsid w:val="00307A16"/>
    <w:rsid w:val="003142E0"/>
    <w:rsid w:val="003170C4"/>
    <w:rsid w:val="00326F90"/>
    <w:rsid w:val="00366DAE"/>
    <w:rsid w:val="003743B8"/>
    <w:rsid w:val="0038556D"/>
    <w:rsid w:val="003F2658"/>
    <w:rsid w:val="00454226"/>
    <w:rsid w:val="00460D08"/>
    <w:rsid w:val="00461453"/>
    <w:rsid w:val="0046229A"/>
    <w:rsid w:val="0046625D"/>
    <w:rsid w:val="004C5475"/>
    <w:rsid w:val="005255B6"/>
    <w:rsid w:val="00580885"/>
    <w:rsid w:val="00597A3A"/>
    <w:rsid w:val="005C5D5D"/>
    <w:rsid w:val="005C74EC"/>
    <w:rsid w:val="005D585F"/>
    <w:rsid w:val="005F3105"/>
    <w:rsid w:val="005F3994"/>
    <w:rsid w:val="00603305"/>
    <w:rsid w:val="00605AF0"/>
    <w:rsid w:val="0061425D"/>
    <w:rsid w:val="006401BE"/>
    <w:rsid w:val="00645029"/>
    <w:rsid w:val="0066411F"/>
    <w:rsid w:val="00676B50"/>
    <w:rsid w:val="006D72F8"/>
    <w:rsid w:val="006E6194"/>
    <w:rsid w:val="00703286"/>
    <w:rsid w:val="007326DC"/>
    <w:rsid w:val="007425BF"/>
    <w:rsid w:val="00755734"/>
    <w:rsid w:val="00764EDA"/>
    <w:rsid w:val="00766FE7"/>
    <w:rsid w:val="007A4E0D"/>
    <w:rsid w:val="007E006A"/>
    <w:rsid w:val="008073F1"/>
    <w:rsid w:val="00895FAC"/>
    <w:rsid w:val="00907CDD"/>
    <w:rsid w:val="0092131E"/>
    <w:rsid w:val="009226D2"/>
    <w:rsid w:val="00957213"/>
    <w:rsid w:val="009B4B69"/>
    <w:rsid w:val="009E44D1"/>
    <w:rsid w:val="00A475F2"/>
    <w:rsid w:val="00A576A6"/>
    <w:rsid w:val="00A73D59"/>
    <w:rsid w:val="00AA1D8D"/>
    <w:rsid w:val="00B036C4"/>
    <w:rsid w:val="00B14BF4"/>
    <w:rsid w:val="00B47730"/>
    <w:rsid w:val="00B50138"/>
    <w:rsid w:val="00B560C1"/>
    <w:rsid w:val="00B77956"/>
    <w:rsid w:val="00BA0165"/>
    <w:rsid w:val="00BB39EA"/>
    <w:rsid w:val="00BF66BC"/>
    <w:rsid w:val="00C06A93"/>
    <w:rsid w:val="00C45A44"/>
    <w:rsid w:val="00C7772C"/>
    <w:rsid w:val="00C82607"/>
    <w:rsid w:val="00C87A71"/>
    <w:rsid w:val="00CB0664"/>
    <w:rsid w:val="00CD1A1E"/>
    <w:rsid w:val="00D22E42"/>
    <w:rsid w:val="00D42C27"/>
    <w:rsid w:val="00D44591"/>
    <w:rsid w:val="00D51AB4"/>
    <w:rsid w:val="00D56F18"/>
    <w:rsid w:val="00DE2667"/>
    <w:rsid w:val="00DE777F"/>
    <w:rsid w:val="00E17479"/>
    <w:rsid w:val="00E5782F"/>
    <w:rsid w:val="00E637F9"/>
    <w:rsid w:val="00E71C03"/>
    <w:rsid w:val="00E7470B"/>
    <w:rsid w:val="00EA06A3"/>
    <w:rsid w:val="00EC0F7A"/>
    <w:rsid w:val="00ED0B79"/>
    <w:rsid w:val="00EF6C6C"/>
    <w:rsid w:val="00F0338B"/>
    <w:rsid w:val="00F96080"/>
    <w:rsid w:val="00F967FC"/>
    <w:rsid w:val="00FC693F"/>
    <w:rsid w:val="00FD1961"/>
    <w:rsid w:val="00FE00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CB46A"/>
  <w14:defaultImageDpi w14:val="300"/>
  <w15:docId w15:val="{C183F656-CF80-49B1-A6B4-D2DE77EE3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8556D"/>
    <w:pPr>
      <w:spacing w:after="0" w:line="240" w:lineRule="auto"/>
    </w:pPr>
  </w:style>
  <w:style w:type="character" w:styleId="PlaceholderText">
    <w:name w:val="Placeholder Text"/>
    <w:basedOn w:val="DefaultParagraphFont"/>
    <w:uiPriority w:val="99"/>
    <w:semiHidden/>
    <w:rsid w:val="00B501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9347">
      <w:bodyDiv w:val="1"/>
      <w:marLeft w:val="0"/>
      <w:marRight w:val="0"/>
      <w:marTop w:val="0"/>
      <w:marBottom w:val="0"/>
      <w:divBdr>
        <w:top w:val="none" w:sz="0" w:space="0" w:color="auto"/>
        <w:left w:val="none" w:sz="0" w:space="0" w:color="auto"/>
        <w:bottom w:val="none" w:sz="0" w:space="0" w:color="auto"/>
        <w:right w:val="none" w:sz="0" w:space="0" w:color="auto"/>
      </w:divBdr>
      <w:divsChild>
        <w:div w:id="652367939">
          <w:marLeft w:val="480"/>
          <w:marRight w:val="0"/>
          <w:marTop w:val="0"/>
          <w:marBottom w:val="0"/>
          <w:divBdr>
            <w:top w:val="none" w:sz="0" w:space="0" w:color="auto"/>
            <w:left w:val="none" w:sz="0" w:space="0" w:color="auto"/>
            <w:bottom w:val="none" w:sz="0" w:space="0" w:color="auto"/>
            <w:right w:val="none" w:sz="0" w:space="0" w:color="auto"/>
          </w:divBdr>
        </w:div>
        <w:div w:id="629701710">
          <w:marLeft w:val="480"/>
          <w:marRight w:val="0"/>
          <w:marTop w:val="0"/>
          <w:marBottom w:val="0"/>
          <w:divBdr>
            <w:top w:val="none" w:sz="0" w:space="0" w:color="auto"/>
            <w:left w:val="none" w:sz="0" w:space="0" w:color="auto"/>
            <w:bottom w:val="none" w:sz="0" w:space="0" w:color="auto"/>
            <w:right w:val="none" w:sz="0" w:space="0" w:color="auto"/>
          </w:divBdr>
        </w:div>
        <w:div w:id="1849296948">
          <w:marLeft w:val="480"/>
          <w:marRight w:val="0"/>
          <w:marTop w:val="0"/>
          <w:marBottom w:val="0"/>
          <w:divBdr>
            <w:top w:val="none" w:sz="0" w:space="0" w:color="auto"/>
            <w:left w:val="none" w:sz="0" w:space="0" w:color="auto"/>
            <w:bottom w:val="none" w:sz="0" w:space="0" w:color="auto"/>
            <w:right w:val="none" w:sz="0" w:space="0" w:color="auto"/>
          </w:divBdr>
        </w:div>
        <w:div w:id="1269120899">
          <w:marLeft w:val="480"/>
          <w:marRight w:val="0"/>
          <w:marTop w:val="0"/>
          <w:marBottom w:val="0"/>
          <w:divBdr>
            <w:top w:val="none" w:sz="0" w:space="0" w:color="auto"/>
            <w:left w:val="none" w:sz="0" w:space="0" w:color="auto"/>
            <w:bottom w:val="none" w:sz="0" w:space="0" w:color="auto"/>
            <w:right w:val="none" w:sz="0" w:space="0" w:color="auto"/>
          </w:divBdr>
        </w:div>
        <w:div w:id="234900629">
          <w:marLeft w:val="480"/>
          <w:marRight w:val="0"/>
          <w:marTop w:val="0"/>
          <w:marBottom w:val="0"/>
          <w:divBdr>
            <w:top w:val="none" w:sz="0" w:space="0" w:color="auto"/>
            <w:left w:val="none" w:sz="0" w:space="0" w:color="auto"/>
            <w:bottom w:val="none" w:sz="0" w:space="0" w:color="auto"/>
            <w:right w:val="none" w:sz="0" w:space="0" w:color="auto"/>
          </w:divBdr>
        </w:div>
      </w:divsChild>
    </w:div>
    <w:div w:id="572785431">
      <w:bodyDiv w:val="1"/>
      <w:marLeft w:val="0"/>
      <w:marRight w:val="0"/>
      <w:marTop w:val="0"/>
      <w:marBottom w:val="0"/>
      <w:divBdr>
        <w:top w:val="none" w:sz="0" w:space="0" w:color="auto"/>
        <w:left w:val="none" w:sz="0" w:space="0" w:color="auto"/>
        <w:bottom w:val="none" w:sz="0" w:space="0" w:color="auto"/>
        <w:right w:val="none" w:sz="0" w:space="0" w:color="auto"/>
      </w:divBdr>
    </w:div>
    <w:div w:id="971715120">
      <w:bodyDiv w:val="1"/>
      <w:marLeft w:val="0"/>
      <w:marRight w:val="0"/>
      <w:marTop w:val="0"/>
      <w:marBottom w:val="0"/>
      <w:divBdr>
        <w:top w:val="none" w:sz="0" w:space="0" w:color="auto"/>
        <w:left w:val="none" w:sz="0" w:space="0" w:color="auto"/>
        <w:bottom w:val="none" w:sz="0" w:space="0" w:color="auto"/>
        <w:right w:val="none" w:sz="0" w:space="0" w:color="auto"/>
      </w:divBdr>
    </w:div>
    <w:div w:id="1043677474">
      <w:bodyDiv w:val="1"/>
      <w:marLeft w:val="0"/>
      <w:marRight w:val="0"/>
      <w:marTop w:val="0"/>
      <w:marBottom w:val="0"/>
      <w:divBdr>
        <w:top w:val="none" w:sz="0" w:space="0" w:color="auto"/>
        <w:left w:val="none" w:sz="0" w:space="0" w:color="auto"/>
        <w:bottom w:val="none" w:sz="0" w:space="0" w:color="auto"/>
        <w:right w:val="none" w:sz="0" w:space="0" w:color="auto"/>
      </w:divBdr>
    </w:div>
    <w:div w:id="1096290927">
      <w:bodyDiv w:val="1"/>
      <w:marLeft w:val="0"/>
      <w:marRight w:val="0"/>
      <w:marTop w:val="0"/>
      <w:marBottom w:val="0"/>
      <w:divBdr>
        <w:top w:val="none" w:sz="0" w:space="0" w:color="auto"/>
        <w:left w:val="none" w:sz="0" w:space="0" w:color="auto"/>
        <w:bottom w:val="none" w:sz="0" w:space="0" w:color="auto"/>
        <w:right w:val="none" w:sz="0" w:space="0" w:color="auto"/>
      </w:divBdr>
    </w:div>
    <w:div w:id="1456482296">
      <w:bodyDiv w:val="1"/>
      <w:marLeft w:val="0"/>
      <w:marRight w:val="0"/>
      <w:marTop w:val="0"/>
      <w:marBottom w:val="0"/>
      <w:divBdr>
        <w:top w:val="none" w:sz="0" w:space="0" w:color="auto"/>
        <w:left w:val="none" w:sz="0" w:space="0" w:color="auto"/>
        <w:bottom w:val="none" w:sz="0" w:space="0" w:color="auto"/>
        <w:right w:val="none" w:sz="0" w:space="0" w:color="auto"/>
      </w:divBdr>
    </w:div>
    <w:div w:id="1835606299">
      <w:bodyDiv w:val="1"/>
      <w:marLeft w:val="0"/>
      <w:marRight w:val="0"/>
      <w:marTop w:val="0"/>
      <w:marBottom w:val="0"/>
      <w:divBdr>
        <w:top w:val="none" w:sz="0" w:space="0" w:color="auto"/>
        <w:left w:val="none" w:sz="0" w:space="0" w:color="auto"/>
        <w:bottom w:val="none" w:sz="0" w:space="0" w:color="auto"/>
        <w:right w:val="none" w:sz="0" w:space="0" w:color="auto"/>
      </w:divBdr>
    </w:div>
    <w:div w:id="1883786730">
      <w:bodyDiv w:val="1"/>
      <w:marLeft w:val="0"/>
      <w:marRight w:val="0"/>
      <w:marTop w:val="0"/>
      <w:marBottom w:val="0"/>
      <w:divBdr>
        <w:top w:val="none" w:sz="0" w:space="0" w:color="auto"/>
        <w:left w:val="none" w:sz="0" w:space="0" w:color="auto"/>
        <w:bottom w:val="none" w:sz="0" w:space="0" w:color="auto"/>
        <w:right w:val="none" w:sz="0" w:space="0" w:color="auto"/>
      </w:divBdr>
    </w:div>
    <w:div w:id="20341891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D0A504E3-4275-574A-B6C0-D082443F169B}"/>
      </w:docPartPr>
      <w:docPartBody>
        <w:p w:rsidR="00954CAD" w:rsidRDefault="00954CAD">
          <w:r w:rsidRPr="00B60CF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CAD"/>
    <w:rsid w:val="00954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4CA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7D9292-46AF-754D-8B52-E33A61311FB3}">
  <we:reference id="wa104382081" version="1.55.1.0" store="en-US" storeType="OMEX"/>
  <we:alternateReferences>
    <we:reference id="WA104382081" version="1.55.1.0" store="" storeType="OMEX"/>
  </we:alternateReferences>
  <we:properties>
    <we:property name="MENDELEY_CITATIONS" value="[{&quot;citationID&quot;:&quot;MENDELEY_CITATION_d2d8671d-6f63-4e9d-97ad-e7f6138bb526&quot;,&quot;properties&quot;:{&quot;noteIndex&quot;:0},&quot;isEdited&quot;:false,&quot;manualOverride&quot;:{&quot;isManuallyOverridden&quot;:false,&quot;citeprocText&quot;:&quot;(Derbyshire et al., 2004; Holloway &amp;#38; Neelin, 2009)&quot;,&quot;manualOverrideText&quot;:&quot;&quot;},&quot;citationTag&quot;:&quot;MENDELEY_CITATION_v3_eyJjaXRhdGlvbklEIjoiTUVOREVMRVlfQ0lUQVRJT05fZDJkODY3MWQtNmY2My00ZTlkLTk3YWQtZTdmNjEzOGJiNTI2IiwicHJvcGVydGllcyI6eyJub3RlSW5kZXgiOjB9LCJpc0VkaXRlZCI6ZmFsc2UsIm1hbnVhbE92ZXJyaWRlIjp7ImlzTWFudWFsbHlPdmVycmlkZGVuIjpmYWxzZSwiY2l0ZXByb2NUZXh0IjoiKERlcmJ5c2hpcmUgZXQgYWwuLCAyMDA0OyBIb2xsb3dheSAmIzM4OyBOZWVsaW4sIDIwMDkpIiwibWFudWFsT3ZlcnJpZGVUZXh0IjoiIn0sImNpdGF0aW9uSXRlbXMiOlt7ImlkIjoiMDU1MWU3MTUtN2FkMS0zN2I3LTgyOTMtYmU0MGU5ZjA3ZDFlIiwiaXRlbURhdGEiOnsidHlwZSI6ImFydGljbGUtam91cm5hbCIsImlkIjoiMDU1MWU3MTUtN2FkMS0zN2I3LTgyOTMtYmU0MGU5ZjA3ZDFlIiwidGl0bGUiOiJNb2lzdHVyZSBWZXJ0aWNhbCBTdHJ1Y3R1cmUsIENvbHVtbiBXYXRlciBWYXBvciwgYW5kIFRyb3BpY2FsIERlZXAgQ29udmVjdGlvbiIsImF1dGhvciI6W3siZmFtaWx5IjoiSG9sbG93YXkiLCJnaXZlbiI6IkNocmlzdG9waGVyIEUuIiwicGFyc2UtbmFtZXMiOmZhbHNlLCJkcm9wcGluZy1wYXJ0aWNsZSI6IiIsIm5vbi1kcm9wcGluZy1wYXJ0aWNsZSI6IiJ9LHsiZmFtaWx5IjoiTmVlbGluIiwiZ2l2ZW4iOiJKLiBEYXZpZCIsInBhcnNlLW5hbWVzIjpmYWxzZSwiZHJvcHBpbmctcGFydGljbGUiOiIiLCJub24tZHJvcHBpbmctcGFydGljbGUiOiIifV0sImNvbnRhaW5lci10aXRsZSI6IkpvdXJuYWwgb2YgdGhlIEF0bW9zcGhlcmljIFNjaWVuY2VzIiwiY29udGFpbmVyLXRpdGxlLXNob3J0IjoiSi4gQXRtb3MuIFNjaS4iLCJET0kiOiIxMC4xMTc1LzIwMDhKQVMyODA2LjEiLCJJU1NOIjoiMTUyMC0wNDY5IiwiVVJMIjoiaHR0cHM6Ly9qb3VybmFscy5hbWV0c29jLm9yZy9kb2kvMTAuMTE3NS8yMDA4SkFTMjgwNi4xIiwiaXNzdWVkIjp7ImRhdGUtcGFydHMiOltbMjAwOSw2LDFdXX0sInBhZ2UiOiIxNjY1LTE2ODMiLCJhYnN0cmFjdCI6IjxwPlRoZSB2ZXJ0aWNhbCBzdHJ1Y3R1cmUgb2YgdGhlIHJlbGF0aW9uc2hpcCBiZXR3ZWVuIHdhdGVyIHZhcG9yIGFuZCBwcmVjaXBpdGF0aW9uIGlzIGFuYWx5emVkIGluIDUgeXIgb2YgcmFkaW9zb25kZSBhbmQgcHJlY2lwaXRhdGlvbiBnYXVnZSBkYXRhIGZyb20gdGhlIE5hdXJ1IEF0bW9zcGhlcmljIFJhZGlhdGlvbiBNZWFzdXJlbWVudCAoQVJNKSBzaXRlLiBUaGUgZmlyc3QgdmVydGljYWwgcHJpbmNpcGFsIGNvbXBvbmVudCBvZiBzcGVjaWZpYyBodW1pZGl0eSBpcyB2ZXJ5IGhpZ2hseSBjb3JyZWxhdGVkIHdpdGggY29sdW1uIHdhdGVyIHZhcG9yIChDV1YpIGFuZCBoYXMgYSBtYXhpbXVtIG9mIGJvdGggdG90YWwgYW5kIGZyYWN0aW9uYWwgdmFyaWFuY2UgY2FwdHVyZWQgaW4gdGhlIGxvd2VyIGZyZWUgdHJvcG9zcGhlcmUgKGFyb3VuZCA4MDAgaFBhKS4gTW9pc3R1cmUgcHJvZmlsZXMgY29uZGl0aW9uYWxseSBhdmVyYWdlZCBvbiBwcmVjaXBpdGF0aW9uIHNob3cgYSBzdHJvbmcgYXNzb2NpYXRpb24gYmV0d2VlbiByYWluZmFsbCBhbmQgbW9pc3R1cmUgdmFyaWFiaWxpdHkgaW4gdGhlIGZyZWUgdHJvcG9zcGhlcmUgYW5kIGxpdHRsZSBib3VuZGFyeSBsYXllciB2YXJpYWJpbGl0eS4gQSBzaGFycCBwaWNrdXAgaW4gcHJlY2lwaXRhdGlvbiBvY2N1cnMgbmVhciBhIGNyaXRpY2FsIHZhbHVlIG9mIENXViwgY29uZmlybWluZyBzYXRlbGxpdGUtYmFzZWQgc3R1ZGllcy4gQSBsYWfigJNsZWFkIGFuYWx5c2lzIHN1Z2dlc3RzIGl0IGlzIHVubGlrZWx5IHRoYXQgdGhlIGluY3JlYXNlIGluIHdhdGVyIHZhcG9yIGlzIGp1c3QgYSByZXN1bHQgb2YgdGhlIGZhbGxpbmcgcHJlY2lwaXRhdGlvbi4gVG8gaW52ZXN0aWdhdGUgbWVjaGFuaXNtcyBmb3IgdGhlIENXVuKAk3ByZWNpcGl0YXRpb24gcmVsYXRpb25zaGlwLCBlbnRyYWluaW5nIHBsdW1lIGJ1b3lhbmN5IGlzIGV4YW1pbmVkIGluIHNvbmRlIGRhdGEgYW5kIHNpbXBsaWZpZWQgY2FzZXMuIEZvciBzZXZlcmFsIGRpZmZlcmVudCBtaXhpbmcgc2NoZW1lcywgaGlnaGVyIENXViByZXN1bHRzIGluIHByb2dyZXNzaXZlbHkgZ3JlYXRlciBwbHVtZSBidW95YW5jaWVzLCBwYXJ0aWN1bGFybHkgaW4gdGhlIHVwcGVyIHRyb3Bvc3BoZXJlLCBpbmRpY2F0aW5nIGNvbmRpdGlvbnMgZmF2b3JhYmxlIGZvciBkZWVwIGNvbnZlY3Rpb24uIEFsbCBvdGhlciB0aGluZ3MgYmVpbmcgZXF1YWwsIGhpZ2hlciB2YWx1ZXMgb2YgbG93ZXItdHJvcG9zcGhlcmljIGh1bWlkaXR5LCB2aWEgZW50cmFpbm1lbnQsIHBsYXkgYSBtYWpvciByb2xlIGluIHRoaXMgYnVveWFuY3kgaW5jcmVhc2UuIEEgc21hbGwgYnV0IHNpZ25pZmljYW50IGluY3JlYXNlIGluIHN1YmNsb3VkIGxheWVyIG1vaXN0dXJlIHdpdGggaW5jcmVhc2luZyBDV1YgYWxzbyBjb250cmlidXRlcyB0byBidW95YW5jeS4gRW50cmFpbm1lbnQgY29lZmZpY2llbnRzIGludmVyc2VseSBwcm9wb3J0aW9uYWwgdG8gZGlzdGFuY2UgZnJvbSB0aGUgc3VyZmFjZSwgYXNzb2NpYXRlZCB3aXRoIG1hc3MgZmx1eCBpbmNyZWFzZSB0aHJvdWdoIGEgZGVlcCBsb3dlci10cm9wb3NwaGVyaWMgbGF5ZXIsIGFwcGVhciBwcm9taXNpbmcuIFRoZXNlIHlpZWxkIGEgcmVsYXRpdmVseSBldmVuIHdlaWdodGluZyB0aHJvdWdoIHRoZSBsb3dlciB0cm9wb3NwaGVyZSBmb3IgdGhlIGNvbnRyaWJ1dGlvbiBvZiBlbnZpcm9ubWVudGFsIHdhdGVyIHZhcG9yIHRvIG1pZHRyb3Bvc3BoZXJpYyBidW95YW5jeSwgZXhwbGFpbmluZyB0aGUgYXNzb2NpYXRpb24gb2YgQ1dWIGFuZCBidW95YW5jeSBhdmFpbGFibGUgZm9yIGRlZXAgY29udmVjdGlvbi48L3A+IiwiaXNzdWUiOiI2Iiwidm9sdW1lIjoiNjYifSwiaXNUZW1wb3JhcnkiOmZhbHNlfSx7ImlkIjoiZjZmZGY5YjMtN2NhOS0zZWZlLWI3ZGItZWE5Y2ZhNjM1NGU3IiwiaXRlbURhdGEiOnsidHlwZSI6ImFydGljbGUtam91cm5hbCIsImlkIjoiZjZmZGY5YjMtN2NhOS0zZWZlLWI3ZGItZWE5Y2ZhNjM1NGU3IiwidGl0bGUiOiJTZW5zaXRpdml0eSBvZiBtb2lzdCBjb252ZWN0aW9uIHRvIGVudmlyb25tZW50YWwgaHVtaWRpdHkiLCJhdXRob3IiOlt7ImZhbWlseSI6IkRlcmJ5c2hpcmUiLCJnaXZlbiI6IlMuIEguIiwicGFyc2UtbmFtZXMiOmZhbHNlLCJkcm9wcGluZy1wYXJ0aWNsZSI6IiIsIm5vbi1kcm9wcGluZy1wYXJ0aWNsZSI6IiJ9LHsiZmFtaWx5IjoiQmVhdSIsImdpdmVuIjoiSS4iLCJwYXJzZS1uYW1lcyI6ZmFsc2UsImRyb3BwaW5nLXBhcnRpY2xlIjoiIiwibm9uLWRyb3BwaW5nLXBhcnRpY2xlIjoiIn0seyJmYW1pbHkiOiJCZWNodG9sZCIsImdpdmVuIjoiUC4iLCJwYXJzZS1uYW1lcyI6ZmFsc2UsImRyb3BwaW5nLXBhcnRpY2xlIjoiIiwibm9uLWRyb3BwaW5nLXBhcnRpY2xlIjoiIn0seyJmYW1pbHkiOiJHcmFuZHBlaXgiLCJnaXZlbiI6Ikou4oCQWS4iLCJwYXJzZS1uYW1lcyI6ZmFsc2UsImRyb3BwaW5nLXBhcnRpY2xlIjoiIiwibm9uLWRyb3BwaW5nLXBhcnRpY2xlIjoiIn0seyJmYW1pbHkiOiJQaXJpb3UiLCJnaXZlbiI6Ikou4oCQTS4iLCJwYXJzZS1uYW1lcyI6ZmFsc2UsImRyb3BwaW5nLXBhcnRpY2xlIjoiIiwibm9uLWRyb3BwaW5nLXBhcnRpY2xlIjoiIn0seyJmYW1pbHkiOiJSZWRlbHNwZXJnZXIiLCJnaXZlbiI6Ikou4oCQTC4iLCJwYXJzZS1uYW1lcyI6ZmFsc2UsImRyb3BwaW5nLXBhcnRpY2xlIjoiIiwibm9uLWRyb3BwaW5nLXBhcnRpY2xlIjoiIn0seyJmYW1pbHkiOiJTb2FyZXMiLCJnaXZlbiI6IlAuIE0uIE0uIiwicGFyc2UtbmFtZXMiOmZhbHNlLCJkcm9wcGluZy1wYXJ0aWNsZSI6IiIsIm5vbi1kcm9wcGluZy1wYXJ0aWNsZSI6IiJ9XSwiY29udGFpbmVyLXRpdGxlIjoiUXVhcnRlcmx5IEpvdXJuYWwgb2YgdGhlIFJveWFsIE1ldGVvcm9sb2dpY2FsIFNvY2lldHkiLCJET0kiOiIxMC4xMjU2L3FqLjAzLjEzMCIsIklTU04iOiIwMDM1LTkwMDkiLCJVUkwiOiJodHRwczovL3JtZXRzLm9ubGluZWxpYnJhcnkud2lsZXkuY29tL2RvaS8xMC4xMjU2L3FqLjAzLjEzMCIsImlzc3VlZCI6eyJkYXRlLXBhcnRzIjpbWzIwMDQsMTAsMjldXX0sInBhZ2UiOiIzMDU1LTMwNzkiLCJhYnN0cmFjdCI6IjxwPkFzIHBhcnQgb2YgdGhlIEVVUk9DUyAoRVVST3BlYW4gQ2xvdWQgU3lzdGVtcyBzdHVkeSkgcHJvamVjdCwgY2xvdWTigJByZXNvbHZpbmcgbW9kZWwgKENSTSkgc2ltdWxhdGlvbnMgYW5kIHBhcmFsbGVsIHNpbmdsZeKAkGNvbHVtbiBtb2RlbCAoU0NNKSB0ZXN0cyBvZiB0aGUgc2Vuc2l0aXZpdHkgb2YgbW9pc3QgYXRtb3NwaGVyaWMgY29udmVjdGlvbiB0byBtaWR0cm9wb3NwaGVyaWMgaHVtaWRpdHkgYXJlIHByZXNlbnRlZC4gVGhpcyBzZW5zaXRpdml0eSBpcyBicm9hZGx5IHN1cHBvcnRlZCBieSBvYnNlcnZhdGlvbnMgYW5kIHNvbWUgcHJldmlvdXMgbW9kZWwgc3R1ZGllcywgYnV0IGlzIHN0aWxsIHBvb3JseSBxdWFudGlmaWVkLiBNaXhpbmcgYmV0d2VlbiBjbG91ZHMgYW5kIGVudmlyb25tZW50IGlzIGEga2V5IG1lY2hhbmlzbSwgY2VudHJhbCB0byBtYW55IG9mIHRoZSBmdW5kYW1lbnRhbCBkaWZmZXJlbmNlcyBiZXR3ZWVuIGNvbnZlY3Rpb24gc2NoZW1lcy48L3A+IiwiaXNzdWUiOiI2MDQiLCJ2b2x1bWUiOiIxMzAiLCJjb250YWluZXItdGl0bGUtc2hvcnQiOiIifSwiaXNUZW1wb3JhcnkiOmZhbHNlfV19&quot;,&quot;citationItems&quot;:[{&quot;id&quot;:&quot;0551e715-7ad1-37b7-8293-be40e9f07d1e&quot;,&quot;itemData&quot;:{&quot;type&quot;:&quot;article-journal&quot;,&quot;id&quot;:&quot;0551e715-7ad1-37b7-8293-be40e9f07d1e&quot;,&quot;title&quot;:&quot;Moisture Vertical Structure, Column Water Vapor, and Tropical Deep Convection&quot;,&quot;author&quot;:[{&quot;family&quot;:&quot;Holloway&quot;,&quot;given&quot;:&quot;Christopher E.&quot;,&quot;parse-names&quot;:false,&quot;dropping-particle&quot;:&quot;&quot;,&quot;non-dropping-particle&quot;:&quot;&quot;},{&quot;family&quot;:&quot;Neelin&quot;,&quot;given&quot;:&quot;J. David&quot;,&quot;parse-names&quot;:false,&quot;dropping-particle&quot;:&quot;&quot;,&quot;non-dropping-particle&quot;:&quot;&quot;}],&quot;container-title&quot;:&quot;Journal of the Atmospheric Sciences&quot;,&quot;container-title-short&quot;:&quot;J. Atmos. Sci.&quot;,&quot;DOI&quot;:&quot;10.1175/2008JAS2806.1&quot;,&quot;ISSN&quot;:&quot;1520-0469&quot;,&quot;URL&quot;:&quot;https://journals.ametsoc.org/doi/10.1175/2008JAS2806.1&quot;,&quot;issued&quot;:{&quot;date-parts&quot;:[[2009,6,1]]},&quot;page&quot;:&quot;1665-1683&quot;,&quot;abstract&quot;:&quot;&lt;p&gt;The vertical structure of the relationship between water vapor and precipitation is analyzed in 5 yr of radiosonde and precipitation gauge data from the Nauru Atmospheric Radiation Measurement (ARM) site. The first vertical principal component of specific humidity is very highly correlated with column water vapor (CWV) and has a maximum of both total and fractional variance captured in the lower free troposphere (around 800 hPa). Moisture profiles conditionally averaged on precipitation show a strong association between rainfall and moisture variability in the free troposphere and little boundary layer variability. A sharp pickup in precipitation occurs near a critical value of CWV, confirming satellite-based studies. A lag–lead analysis suggests it is unlikely that the increase in water vapor is just a result of the falling precipitation. To investigate mechanisms for the CWV–precipitation relationship, entraining plume buoyancy is examined in sonde data and simplified cases. For several different mixing schemes, higher CWV results in progressively greater plume buoyancies, particularly in the upper troposphere, indicating conditions favorable for deep convection. All other things being equal, higher values of lower-tropospheric humidity, via entrainment, play a major role in this buoyancy increase. A small but significant increase in subcloud layer moisture with increasing CWV also contributes to buoyancy. Entrainment coefficients inversely proportional to distance from the surface, associated with mass flux increase through a deep lower-tropospheric layer, appear promising. These yield a relatively even weighting through the lower troposphere for the contribution of environmental water vapor to midtropospheric buoyancy, explaining the association of CWV and buoyancy available for deep convection.&lt;/p&gt;&quot;,&quot;issue&quot;:&quot;6&quot;,&quot;volume&quot;:&quot;66&quot;},&quot;isTemporary&quot;:false},{&quot;id&quot;:&quot;f6fdf9b3-7ca9-3efe-b7db-ea9cfa6354e7&quot;,&quot;itemData&quot;:{&quot;type&quot;:&quot;article-journal&quot;,&quot;id&quot;:&quot;f6fdf9b3-7ca9-3efe-b7db-ea9cfa6354e7&quot;,&quot;title&quot;:&quot;Sensitivity of moist convection to environmental humidity&quot;,&quot;author&quot;:[{&quot;family&quot;:&quot;Derbyshire&quot;,&quot;given&quot;:&quot;S. H.&quot;,&quot;parse-names&quot;:false,&quot;dropping-particle&quot;:&quot;&quot;,&quot;non-dropping-particle&quot;:&quot;&quot;},{&quot;family&quot;:&quot;Beau&quot;,&quot;given&quot;:&quot;I.&quot;,&quot;parse-names&quot;:false,&quot;dropping-particle&quot;:&quot;&quot;,&quot;non-dropping-particle&quot;:&quot;&quot;},{&quot;family&quot;:&quot;Bechtold&quot;,&quot;given&quot;:&quot;P.&quot;,&quot;parse-names&quot;:false,&quot;dropping-particle&quot;:&quot;&quot;,&quot;non-dropping-particle&quot;:&quot;&quot;},{&quot;family&quot;:&quot;Grandpeix&quot;,&quot;given&quot;:&quot;J.‐Y.&quot;,&quot;parse-names&quot;:false,&quot;dropping-particle&quot;:&quot;&quot;,&quot;non-dropping-particle&quot;:&quot;&quot;},{&quot;family&quot;:&quot;Piriou&quot;,&quot;given&quot;:&quot;J.‐M.&quot;,&quot;parse-names&quot;:false,&quot;dropping-particle&quot;:&quot;&quot;,&quot;non-dropping-particle&quot;:&quot;&quot;},{&quot;family&quot;:&quot;Redelsperger&quot;,&quot;given&quot;:&quot;J.‐L.&quot;,&quot;parse-names&quot;:false,&quot;dropping-particle&quot;:&quot;&quot;,&quot;non-dropping-particle&quot;:&quot;&quot;},{&quot;family&quot;:&quot;Soares&quot;,&quot;given&quot;:&quot;P. M. M.&quot;,&quot;parse-names&quot;:false,&quot;dropping-particle&quot;:&quot;&quot;,&quot;non-dropping-particle&quot;:&quot;&quot;}],&quot;container-title&quot;:&quot;Quarterly Journal of the Royal Meteorological Society&quot;,&quot;DOI&quot;:&quot;10.1256/qj.03.130&quot;,&quot;ISSN&quot;:&quot;0035-9009&quot;,&quot;URL&quot;:&quot;https://rmets.onlinelibrary.wiley.com/doi/10.1256/qj.03.130&quot;,&quot;issued&quot;:{&quot;date-parts&quot;:[[2004,10,29]]},&quot;page&quot;:&quot;3055-3079&quot;,&quot;abstract&quot;:&quot;&lt;p&gt;As part of the EUROCS (EUROpean Cloud Systems study) project, cloud‐resolving model (CRM) simulations and parallel single‐column model (SCM) tests of the sensitivity of moist atmospheric convection to midtropospheric humidity are presented. This sensitivity is broadly supported by observations and some previous model studies, but is still poorly quantified. Mixing between clouds and environment is a key mechanism, central to many of the fundamental differences between convection schemes.&lt;/p&gt;&quot;,&quot;issue&quot;:&quot;604&quot;,&quot;volume&quot;:&quot;130&quot;,&quot;container-title-short&quot;:&quot;&quot;},&quot;isTemporary&quot;:false}]},{&quot;citationID&quot;:&quot;MENDELEY_CITATION_389f5a5a-6a7e-40d2-ba6d-18a5428bc680&quot;,&quot;properties&quot;:{&quot;noteIndex&quot;:0},&quot;isEdited&quot;:false,&quot;manualOverride&quot;:{&quot;isManuallyOverridden&quot;:false,&quot;citeprocText&quot;:&quot;(Ahmed &amp;#38; Neelin, 2018; Schiro &amp;#38; Neelin, 2019)&quot;,&quot;manualOverrideText&quot;:&quot;&quot;},&quot;citationTag&quot;:&quot;MENDELEY_CITATION_v3_eyJjaXRhdGlvbklEIjoiTUVOREVMRVlfQ0lUQVRJT05fMzg5ZjVhNWEtNmE3ZS00MGQyLWJhNmQtMThhNTQyOGJjNjgwIiwicHJvcGVydGllcyI6eyJub3RlSW5kZXgiOjB9LCJpc0VkaXRlZCI6ZmFsc2UsIm1hbnVhbE92ZXJyaWRlIjp7ImlzTWFudWFsbHlPdmVycmlkZGVuIjpmYWxzZSwiY2l0ZXByb2NUZXh0IjoiKEFobWVkICYjMzg7IE5lZWxpbiwgMjAxODsgU2NoaXJvICYjMzg7IE5lZWxpbiwgMjAxOSkiLCJtYW51YWxPdmVycmlkZVRleHQiOiIifSwiY2l0YXRpb25JdGVtcyI6W3siaWQiOiI5Njk0OGM5ZC1hMjcyLTM1NjgtYjZmYi1mYmZjNTliMjU1YTIiLCJpdGVtRGF0YSI6eyJ0eXBlIjoiYXJ0aWNsZS1qb3VybmFsIiwiaWQiOiI5Njk0OGM5ZC1hMjcyLTM1NjgtYjZmYi1mYmZjNTliMjU1YTIiLCJ0aXRsZSI6IlJldmVyc2UgRW5naW5lZXJpbmcgdGhlIFRyb3BpY2FsIFByZWNpcGl0YXRpb27igJNCdW95YW5jeSBSZWxhdGlvbnNoaXAiLCJhdXRob3IiOlt7ImZhbWlseSI6IkFobWVkIiwiZ2l2ZW4iOiJGaWF6IiwicGFyc2UtbmFtZXMiOmZhbHNlLCJkcm9wcGluZy1wYXJ0aWNsZSI6IiIsIm5vbi1kcm9wcGluZy1wYXJ0aWNsZSI6IiJ9LHsiZmFtaWx5IjoiTmVlbGluIiwiZ2l2ZW4iOiJKLiBEYXZpZCIsInBhcnNlLW5hbWVzIjpmYWxzZSwiZHJvcHBpbmctcGFydGljbGUiOiIiLCJub24tZHJvcHBpbmctcGFydGljbGUiOiIifV0sImNvbnRhaW5lci10aXRsZSI6IkpvdXJuYWwgb2YgdGhlIEF0bW9zcGhlcmljIFNjaWVuY2VzIiwiY29udGFpbmVyLXRpdGxlLXNob3J0IjoiSi4gQXRtb3MuIFNjaS4iLCJET0kiOiIxMC4xMTc1L0pBUy1ELTE3LTAzMzMuMSIsIklTU04iOiIwMDIyLTQ5MjgiLCJVUkwiOiJodHRwczovL2pvdXJuYWxzLmFtZXRzb2Mub3JnL2RvaS8xMC4xMTc1L0pBUy1ELTE3LTAzMzMuMSIsImlzc3VlZCI6eyJkYXRlLXBhcnRzIjpbWzIwMTgsNV1dfSwicGFnZSI6IjE1ODctMTYwOCIsImFic3RyYWN0IjoiPHA+VGhlIHRyb3BpY2FsIHByZWNpcGl0YXRpb27igJNtb2lzdHVyZSByZWxhdGlvbnNoaXAsIGNoYXJhY3Rlcml6ZWQgYnkgcmFwaWQgaW5jcmVhc2VzIGluIHByZWNpcGl0YXRpb24gZm9yIG1vZGVzdCBpbmNyZWFzZXMgaW4gbW9pc3R1cmUsIGlzIGNvbmNlcHR1YWxseSByZWNhc3QgaW4gYSBmcmFtZXdvcmsgcmVsZXZhbnQgdG8gcGx1bWUgYnVveWFuY3kgYW5kIGNvbmRpdGlvbmFsIGluc3RhYmlsaXR5IGluIHRoZSB0cm9waWNzLiBUaGUgd29ya2luZyBoeXBvdGhlc2lzIGluIHRoaXMgZnJhbWV3b3JrIGxpbmtzIHRoZSByYXBpZCBvbnNldCBvZiBwcmVjaXBpdGF0aW9uIHRvIGludGVncmF0ZWQgYnVveWFuY3kgaW4gdGhlIGxvd2VyIHRyb3Bvc3BoZXJlLiBBbiBhbmFseXRpY2FsIGV4cHJlc3Npb24gdGhhdCByZWxhdGVzIHRoZSBidW95YW5jeSBvZiBhbiBlbnRyYWluaW5nIHBsdW1lIHRvIHRoZSB2ZXJ0aWNhbCB0aGVybW9keW5hbWljIHN0cnVjdHVyZSBpcyBkZXJpdmVkLiBUaGUgbmF0dXJhbCB2YXJpYWJsZXMgaW4gdGhpcyBmcmFtZXdvcmsgYXJlIHNhdHVyYXRpb24gYW5kIHN1YnNhdHVyYXRpb24gZXF1aXZhbGVudCBwb3RlbnRpYWwgdGVtcGVyYXR1cmVzLCB3aGljaCBjYXB0dXJlIHRoZSBsZWFkaW5nLW9yZGVyIHRlbXBlcmF0dXJlIGFuZCBtb2lzdHVyZSB2YXJpYXRpb25zLCByZXNwZWN0aXZlbHkuIFRoZSB1c2Ugb2YgbGF5ZXIgYXZlcmFnZXMgc2ltcGxpZmllcyB0aGUgYW5hbHl0aWNhbCBhbmQgc3Vic2VxdWVudCBudW1lcmljYWwgdHJlYXRtZW50LiBUaHJlZSBkaXN0aW5jdCBsYXllcnMsIHRoZSBib3VuZGFyeSBsYXllciwgdGhlIGxvd2VyIGZyZWUgdHJvcG9zcGhlcmUsIGFuZCB0aGUgbWlkdHJvcG9zcGhlcmUsIGFkZXF1YXRlbHkgY2FwdHVyZSB0aGUgdmVydGljYWwgdmFyaWF0aW9ucyBpbiB0aGUgdGhlcm1vZHluYW1pYyBzdHJ1Y3R1cmUuIFRoZSBpbmZsdWVuY2Ugb2YgZWFjaCBlbnZpcm9ubWVudGFsIGxheWVyIG9uIHRoZSBwbHVtZSBpcyBhc3N1bWVkIHRvIG9jY3VyIHZpYSBsYXRlcmFsIGVudHJhaW5tZW50LCBjb3JyZXNwb25kaW5nIHRvIGFuIGFzc3VtZWQgbWFzcy1mbHV4IHByb2ZpbGUuIFRoZSBmcmFjdGlvbmFsIGNvbnRyaWJ1dGlvbiBvZiBlYWNoIGxheWVyIHRvIHRoZSBtaWRsZXZlbCBwbHVtZSBidW95YW5jeSAoaS5lLiwgdGhlIGxheWVyIHdlaWdodCkgaXMgZXN0aW1hdGVkIGZyb20gVFJNTSAzQjQyIHByZWNpcGl0YXRpb24gYW5kIEVSQS1JbnRlcmltIHRoZXJtb2R5bmFtaWMgcHJvZmlsZXMuIFRoZSBsYXllciB3ZWlnaHRzIGFyZSB1c2VkIHRvIOKAnHJldmVyc2UgZW5naW5lZXLigJ0gYSBkZWVwLWluZmxvdyBtYXNzLWZsdXggcHJvZmlsZSB0aGF0IGlzIG5vbWluYWxseSBkZXNjcmlwdGl2ZSBvZiB0aGUgdHJvcGljYWwgYXRtb3NwaGVyZSB0aHJvdWdoIHRoZSBvbnNldCBvZiBkZWVwIGNvbnZlY3Rpb24uIFRoZSBsYXllciB3ZWlnaHRz4oCUd2hpY2ggYXJlIG5lYXJseSB0aGUgc2FtZSBmb3IgZWFjaCBvZiB0aGUgbGF5ZXJz4oCUY29uc3RpdHV0ZSBhbiBlbnZpcm9ubWVudGFsIGluZmx1ZW5jZSBmdW5jdGlvbiBhbmQgYXJlIGFsc28gdXNlZCB0byBjb21wdXRlIGEgZnJlZS10cm9wb3NwaGVyaWMgaW50ZWdyYXRlZCBidW95YW5jeSBtZWFzdXJlLiBUaGlzIG1lYXN1cmUgaXMgc2hvd24gdG8gYmUgYW4gZWZmZWN0aXZlIHByZWRpY3RvciBvZiBvbnNldCBpbiBjb25kaXRpb25hbGx5IGF2ZXJhZ2VkIHByZWNpcGl0YXRpb24gYWNyb3NzIHRoZSBnbG9iYWwgdHJvcGljc+KAlG92ZXIgYm90aCBsYW5kIGFuZCBvY2Vhbi48L3A+IiwiaXNzdWUiOiI1Iiwidm9sdW1lIjoiNzUifSwiaXNUZW1wb3JhcnkiOmZhbHNlfSx7ImlkIjoiOGMxZWJjZGYtZDJkZi0zYjEzLTgzYmMtNDRmMzYzNzIyMTNiIiwiaXRlbURhdGEiOnsidHlwZSI6ImFydGljbGUtam91cm5hbCIsImlkIjoiOGMxZWJjZGYtZDJkZi0zYjEzLTgzYmMtNDRmMzYzNzIyMTNiIiwidGl0bGUiOiJEZWVwIENvbnZlY3RpdmUgT3JnYW5pemF0aW9uLCBNb2lzdHVyZSBWZXJ0aWNhbCBTdHJ1Y3R1cmUsIGFuZCBDb252ZWN0aXZlIFRyYW5zaXRpb24gVXNpbmcgRGVlcC1JbmZsb3cgTWl4aW5nIiwiYXV0aG9yIjpbeyJmYW1pbHkiOiJTY2hpcm8iLCJnaXZlbiI6IkthdGhsZWVuIEEuIiwicGFyc2UtbmFtZXMiOmZhbHNlLCJkcm9wcGluZy1wYXJ0aWNsZSI6IiIsIm5vbi1kcm9wcGluZy1wYXJ0aWNsZSI6IiJ9LHsiZmFtaWx5IjoiTmVlbGluIiwiZ2l2ZW4iOiJKLiBEYXZpZCIsInBhcnNlLW5hbWVzIjpmYWxzZSwiZHJvcHBpbmctcGFydGljbGUiOiIiLCJub24tZHJvcHBpbmctcGFydGljbGUiOiIifV0sImNvbnRhaW5lci10aXRsZSI6IkpvdXJuYWwgb2YgdGhlIEF0bW9zcGhlcmljIFNjaWVuY2VzIiwiY29udGFpbmVyLXRpdGxlLXNob3J0IjoiSi4gQXRtb3MuIFNjaS4iLCJET0kiOiIxMC4xMTc1L0pBUy1ELTE4LTAxMjIuMSIsIklTU04iOiIwMDIyLTQ5MjgiLCJVUkwiOiJodHRwczovL2pvdXJuYWxzLmFtZXRzb2Mub3JnL2RvaS8xMC4xMTc1L0pBUy1ELTE4LTAxMjIuMSIsImlzc3VlZCI6eyJkYXRlLXBhcnRzIjpbWzIwMTksNCwxXV19LCJwYWdlIjoiOTY1LTk4NyIsImFic3RyYWN0IjoiPHA+SXQgaXMgYW4gb3BlbiBxdWVzdGlvbiB3aGV0aGVyIGFuIGludGVncmF0ZWQgbWVhc3VyZSBvZiBidW95YW5jeSBjYW4geWllbGQgYSBzdHJvbmcgcmVsYXRpb24gdG8gcHJlY2lwaXRhdGlvbiBhY3Jvc3MgdHJvcGljYWwgbGFuZCBhbmQgb2NlYW4sIGFjcm9zcyB0aGUgc2Vhc29uYWwgYW5kIGRpdXJuYWwgY3ljbGVzLCBhbmQgZm9yIHZhcnlpbmcgZGVncmVlcyBvZiBjb252ZWN0aXZlIG9yZ2FuaXphdGlvbi4gQnVpbGRpbmcgb24gcHJldmlvdXMgd29yaywgZW50cmFpbmluZyBwbHVtZSBidW95YW5jeSBjYWxjdWxhdGlvbnMgcmV2ZWFsIHRoYXQgZGlmZmVyZW5jZXMgaW4gY29udmVjdGl2ZSBvbnNldCBhcyBhIGZ1bmN0aW9uIG9mIGNvbHVtbiB3YXRlciB2YXBvciAoQ1dWKSBvdmVyIGxhbmQgYW5kIG9jZWFuLCBhcyB3ZWxsIGFzIHNlYXNvbmFsbHkgYW5kIGRpdXJuYWxseSBvdmVyIGxhbmQsIGFyZSBsYXJnZWx5IGR1ZSB0byB2YXJpYWJpbGl0eSBpbiB0aGUgY29udHJpYnV0aW9uIG9mIGxvd2VyLXRyb3Bvc3BoZXJpYyBodW1pZGl0eSB0byB0aGUgdG90YWwgY29sdW1uIG1vaXN0dXJlLiBPdmVyIGxhbmQsIHRoZSByZWxhdGlvbnNoaXAgYmV0d2VlbiBkZWVwIGNvbnZlY3Rpb24gYW5kIGxvd2VyLWZyZWUtdHJvcG9zcGhlcmljIG1vaXN0dXJlIGlzIHJvYnVzdCBhY3Jvc3MgYWxsIHNlYXNvbnMgYW5kIHRpbWVzIG9mIGRheSwgd2hlcmVhcyB0aGUgcmVsYXRpb24gdG8gYm91bmRhcnkgbGF5ZXIgbW9pc3R1cmUgaXMgcm9idXN0IGZvciB0aGUgZGF5dGltZSBvbmx5LiBVc2luZyBTLWJhbmQgcmFkYXIsIHRoZXNlIHRyYW5zaXRpb24gc3RhdGlzdGljcyBhcmUgZXhhbWluZWQgc2VwYXJhdGVseSBmb3IgbWVzb3NjYWxlIGFuZCBzbWFsbGVyLXNjYWxlIGNvbnZlY3Rpb24uIFRoZSBwcm9iYWJpbGl0eSBvZiBvYnNlcnZpbmcgbWVzb3NjYWxlIGNvbnZlY3RpdmUgc3lzdGVtcyBzaGFycGx5IGluY3JlYXNlcyBhcyBhIGZ1bmN0aW9uIG9mIGxvd2VyLWZyZWUtdHJvcG9zcGhlcmljIGh1bWlkaXR5LiBUaGUgY29uc2lzdGVuY3kgb2YgdGhpcyB3aXRoIGJ1b3lhbmN5LWJhc2VkIHBhcmFtZXRlcml6YXRpb24gaXMgZXhhbWluZWQgZm9yIHNldmVyYWwgbWl4aW5nIGZvcm11bGF0aW9ucy4gTWl4aW5nIGNvcnJlc3BvbmRpbmcgdG8gZGVlcCBpbmZsb3cgb2YgZW52aXJvbm1lbnRhbCBhaXIgaW50byBhIHBsdW1lIHRoYXQgZ3Jvd3Mgd2l0aCBoZWlnaHQsIHdoaWNoIGluY29ycG9yYXRlcyBuZWFybHkgZXF1YWwgd2VpZ2h0aW5nIG9mIGJvdW5kYXJ5IGxheWVyIGFuZCBmcmVlLXRyb3Bvc3BoZXJpYyBhaXIsIHlpZWxkcyBidW95YW5jaWVzIGNvbnNpc3RlbnQgd2l0aCB0aGUgb2JzZXJ2ZWQgb25zZXQgb2YgZGVlcCBjb252ZWN0aW9uIGFjcm9zcyB0aGUgc2Vhc29uYWwgYW5kIGRpdXJuYWwgY3ljbGVzIGluIHRoZSBBbWF6b24uIEZ1cnRoZXJtb3JlLCBpdCBwcm92aWRlcyByZWxhdGlvbnNoaXBzIHRoYXQgYXJlIGFzIHN0cm9uZyBvciBzdHJvbmdlciBmb3IgbWVzb3NjYWxlLW9yZ2FuaXplZCBjb252ZWN0aW9uIGFzIGZvciBzbWFsbGVyLXNjYWxlIGNvbnZlY3Rpb24uPC9wPiIsImlzc3VlIjoiNCIsInZvbHVtZSI6Ijc2In0sImlzVGVtcG9yYXJ5IjpmYWxzZX1dfQ==&quot;,&quot;citationItems&quot;:[{&quot;id&quot;:&quot;96948c9d-a272-3568-b6fb-fbfc59b255a2&quot;,&quot;itemData&quot;:{&quot;type&quot;:&quot;article-journal&quot;,&quot;id&quot;:&quot;96948c9d-a272-3568-b6fb-fbfc59b255a2&quot;,&quot;title&quot;:&quot;Reverse Engineering the Tropical Precipitation–Buoyancy Relationship&quot;,&quot;author&quot;:[{&quot;family&quot;:&quot;Ahmed&quot;,&quot;given&quot;:&quot;Fiaz&quot;,&quot;parse-names&quot;:false,&quot;dropping-particle&quot;:&quot;&quot;,&quot;non-dropping-particle&quot;:&quot;&quot;},{&quot;family&quot;:&quot;Neelin&quot;,&quot;given&quot;:&quot;J. David&quot;,&quot;parse-names&quot;:false,&quot;dropping-particle&quot;:&quot;&quot;,&quot;non-dropping-particle&quot;:&quot;&quot;}],&quot;container-title&quot;:&quot;Journal of the Atmospheric Sciences&quot;,&quot;container-title-short&quot;:&quot;J. Atmos. Sci.&quot;,&quot;DOI&quot;:&quot;10.1175/JAS-D-17-0333.1&quot;,&quot;ISSN&quot;:&quot;0022-4928&quot;,&quot;URL&quot;:&quot;https://journals.ametsoc.org/doi/10.1175/JAS-D-17-0333.1&quot;,&quot;issued&quot;:{&quot;date-parts&quot;:[[2018,5]]},&quot;page&quot;:&quot;1587-1608&quot;,&quot;abstract&quot;:&quot;&lt;p&gt;The tropical precipitation–moisture relationship, characterized by rapid increases in precipitation for modest increases in moisture, is conceptually recast in a framework relevant to plume buoyancy and conditional instability in the tropics. The working hypothesis in this framework links the rapid onset of precipitation to integrated buoyancy in the lower troposphere. An analytical expression that relates the buoyancy of an entraining plume to the vertical thermodynamic structure is derived. The natural variables in this framework are saturation and subsaturation equivalent potential temperatures, which capture the leading-order temperature and moisture variations, respectively. The use of layer averages simplifies the analytical and subsequent numerical treatment. Three distinct layers, the boundary layer, the lower free troposphere, and the midtroposphere, adequately capture the vertical variations in the thermodynamic structure. The influence of each environmental layer on the plume is assumed to occur via lateral entrainment, corresponding to an assumed mass-flux profile. The fractional contribution of each layer to the midlevel plume buoyancy (i.e., the layer weight) is estimated from TRMM 3B42 precipitation and ERA-Interim thermodynamic profiles. The layer weights are used to “reverse engineer” a deep-inflow mass-flux profile that is nominally descriptive of the tropical atmosphere through the onset of deep convection. The layer weights—which are nearly the same for each of the layers—constitute an environmental influence function and are also used to compute a free-tropospheric integrated buoyancy measure. This measure is shown to be an effective predictor of onset in conditionally averaged precipitation across the global tropics—over both land and ocean.&lt;/p&gt;&quot;,&quot;issue&quot;:&quot;5&quot;,&quot;volume&quot;:&quot;75&quot;},&quot;isTemporary&quot;:false},{&quot;id&quot;:&quot;8c1ebcdf-d2df-3b13-83bc-44f36372213b&quot;,&quot;itemData&quot;:{&quot;type&quot;:&quot;article-journal&quot;,&quot;id&quot;:&quot;8c1ebcdf-d2df-3b13-83bc-44f36372213b&quot;,&quot;title&quot;:&quot;Deep Convective Organization, Moisture Vertical Structure, and Convective Transition Using Deep-Inflow Mixing&quot;,&quot;author&quot;:[{&quot;family&quot;:&quot;Schiro&quot;,&quot;given&quot;:&quot;Kathleen A.&quot;,&quot;parse-names&quot;:false,&quot;dropping-particle&quot;:&quot;&quot;,&quot;non-dropping-particle&quot;:&quot;&quot;},{&quot;family&quot;:&quot;Neelin&quot;,&quot;given&quot;:&quot;J. David&quot;,&quot;parse-names&quot;:false,&quot;dropping-particle&quot;:&quot;&quot;,&quot;non-dropping-particle&quot;:&quot;&quot;}],&quot;container-title&quot;:&quot;Journal of the Atmospheric Sciences&quot;,&quot;container-title-short&quot;:&quot;J. Atmos. Sci.&quot;,&quot;DOI&quot;:&quot;10.1175/JAS-D-18-0122.1&quot;,&quot;ISSN&quot;:&quot;0022-4928&quot;,&quot;URL&quot;:&quot;https://journals.ametsoc.org/doi/10.1175/JAS-D-18-0122.1&quot;,&quot;issued&quot;:{&quot;date-parts&quot;:[[2019,4,1]]},&quot;page&quot;:&quot;965-987&quot;,&quot;abstract&quot;:&quot;&lt;p&gt;It is an open question whether an integrated measure of buoyancy can yield a strong relation to precipitation across tropical land and ocean, across the seasonal and diurnal cycles, and for varying degrees of convective organization. Building on previous work, entraining plume buoyancy calculations reveal that differences in convective onset as a function of column water vapor (CWV) over land and ocean, as well as seasonally and diurnally over land, are largely due to variability in the contribution of lower-tropospheric humidity to the total column moisture. Over land, the relationship between deep convection and lower-free-tropospheric moisture is robust across all seasons and times of day, whereas the relation to boundary layer moisture is robust for the daytime only. Using S-band radar, these transition statistics are examined separately for mesoscale and smaller-scale convection. The probability of observing mesoscale convective systems sharply increases as a function of lower-free-tropospheric humidity. The consistency of this with buoyancy-based parameterization is examined for several mixing formulations. Mixing corresponding to deep inflow of environmental air into a plume that grows with height, which incorporates nearly equal weighting of boundary layer and free-tropospheric air, yields buoyancies consistent with the observed onset of deep convection across the seasonal and diurnal cycles in the Amazon. Furthermore, it provides relationships that are as strong or stronger for mesoscale-organized convection as for smaller-scale convection.&lt;/p&gt;&quot;,&quot;issue&quot;:&quot;4&quot;,&quot;volume&quot;:&quot;76&quot;},&quot;isTemporary&quot;:false}]},{&quot;citationID&quot;:&quot;MENDELEY_CITATION_f085814f-f944-44ae-89ba-6d824dd18fb2&quot;,&quot;properties&quot;:{&quot;noteIndex&quot;:0},&quot;isEdited&quot;:false,&quot;manualOverride&quot;:{&quot;isManuallyOverridden&quot;:false,&quot;citeprocText&quot;:&quot;(Wing et al., 2017)&quot;,&quot;manualOverrideText&quot;:&quot;&quot;},&quot;citationTag&quot;:&quot;MENDELEY_CITATION_v3_eyJjaXRhdGlvbklEIjoiTUVOREVMRVlfQ0lUQVRJT05fZjA4NTgxNGYtZjk0NC00NGFlLTg5YmEtNmQ4MjRkZDE4ZmIyIiwicHJvcGVydGllcyI6eyJub3RlSW5kZXgiOjB9LCJpc0VkaXRlZCI6ZmFsc2UsIm1hbnVhbE92ZXJyaWRlIjp7ImlzTWFudWFsbHlPdmVycmlkZGVuIjpmYWxzZSwiY2l0ZXByb2NUZXh0IjoiKFdpbmcgZXQgYWwuLCAyMDE3KSIsIm1hbnVhbE92ZXJyaWRlVGV4dCI6IiJ9LCJjaXRhdGlvbkl0ZW1zIjpbeyJpZCI6IjMwMjMyYjMxLTc5MWItMzQ2ZS04MTY1LTg2MmUxYzk1ZDJjNyIsIml0ZW1EYXRhIjp7InR5cGUiOiJhcnRpY2xlLWpvdXJuYWwiLCJpZCI6IjMwMjMyYjMxLTc5MWItMzQ2ZS04MTY1LTg2MmUxYzk1ZDJjNyIsInRpdGxlIjoiQ29udmVjdGl2ZSBTZWxmLUFnZ3JlZ2F0aW9uIGluIE51bWVyaWNhbCBTaW11bGF0aW9uczogQSBSZXZpZXciLCJhdXRob3IiOlt7ImZhbWlseSI6IldpbmciLCJnaXZlbiI6IkFsbGlzb24gQS4iLCJwYXJzZS1uYW1lcyI6ZmFsc2UsImRyb3BwaW5nLXBhcnRpY2xlIjoiIiwibm9uLWRyb3BwaW5nLXBhcnRpY2xlIjoiIn0seyJmYW1pbHkiOiJFbWFudWVsIiwiZ2l2ZW4iOiJLZXJyeSIsInBhcnNlLW5hbWVzIjpmYWxzZSwiZHJvcHBpbmctcGFydGljbGUiOiIiLCJub24tZHJvcHBpbmctcGFydGljbGUiOiIifSx7ImZhbWlseSI6IkhvbGxvd2F5IiwiZ2l2ZW4iOiJDaHJpc3RvcGhlciBFLiIsInBhcnNlLW5hbWVzIjpmYWxzZSwiZHJvcHBpbmctcGFydGljbGUiOiIiLCJub24tZHJvcHBpbmctcGFydGljbGUiOiIifSx7ImZhbWlseSI6Ik11bGxlciIsImdpdmVuIjoiQ2Fyb2xpbmUiLCJwYXJzZS1uYW1lcyI6ZmFsc2UsImRyb3BwaW5nLXBhcnRpY2xlIjoiIiwibm9uLWRyb3BwaW5nLXBhcnRpY2xlIjoiIn1dLCJjb250YWluZXItdGl0bGUiOiJTdXJ2ZXlzIGluIEdlb3BoeXNpY3MiLCJjb250YWluZXItdGl0bGUtc2hvcnQiOiJTdXJ2LiBHZW9waHlzLiIsIkRPSSI6IjEwLjEwMDcvczEwNzEyLTAxNy05NDA4LTQiLCJJU1NOIjoiMDE2OS0zMjk4IiwiVVJMIjoiaHR0cDovL2xpbmsuc3ByaW5nZXIuY29tLzEwLjEwMDcvczEwNzEyLTAxNy05NDA4LTQiLCJpc3N1ZWQiOnsiZGF0ZS1wYXJ0cyI6W1syMDE3LDExLDIyXV19LCJwYWdlIjoiMTE3My0xMTk3IiwiYWJzdHJhY3QiOiJPcmdhbml6ZWQgY29udmVjdGlvbiBpbiB0aGUgdHJvcGljcyBvY2N1cnMgYWNyb3NzIGEgcmFuZ2Ugb2Ygc3BhdGlhbCBhbmQgdGVtcG9yYWwgc2NhbGVzIGFuZCBzdHJvbmdseSBpbmZsdWVuY2VzIGNsb3VkIGNvdmVyIGFuZCBodW1pZGl0eS4gT25lIG1vZGUgb2Ygb3JnYW5pemF0aW9uIGZvdW5kIGlzIOKAnHNlbGYtYWdncmVnYXRpb24s4oCdIGluIHdoaWNoIG1vaXN0IGNvbnZlY3Rpb24gc3BvbnRhbmVvdXNseSBvcmdhbml6ZXMgaW50byBvbmUgb3Igc2V2ZXJhbCBpc29sYXRlZCBjbHVzdGVycyBkZXNwaXRlIHNwYXRpYWxseSBob21vZ2VuZW91cyBib3VuZGFyeSBjb25kaXRpb25zIGFuZCBmb3JjaW5nLiBTZWxmLWFnZ3JlZ2F0aW9uIGlzIGRyaXZlbiBieSBpbnRlcmFjdGlvbnMgYmV0d2VlbiBjbG91ZHMsIG1vaXN0dXJlLCByYWRpYXRpb24sIHN1cmZhY2UgZmx1eGVzLCBhbmQgY2lyY3VsYXRpb24sIGFuZCBvY2N1cnMgaW4gYSB3aWRlIHZhcmlldHkgb2YgaWRlYWxpemVkIHNpbXVsYXRpb25zIG9mIHJhZGlhdGl2ZeKAk2NvbnZlY3RpdmUgZXF1aWxpYnJpdW0uIEhlcmUgd2UgcHJvdmlkZSBhIHJldmlldyBvZiBjb252ZWN0aXZlIHNlbGYtYWdncmVnYXRpb24gaW4gbnVtZXJpY2FsIHNpbXVsYXRpb25zLCBpbmNsdWRpbmcgaXRzIGNoYXJhY3RlciwgY2F1c2VzLCBhbmQgZWZmZWN0cy4gV2UgZGVzY3JpYmUgdGhlIGV2b2x1dGlvbiBvZiBzZWxmLWFnZ3JlZ2F0aW9uIGluY2x1ZGluZyBpdHMgdGltZSBhbmQgbGVuZ3RoIHNjYWxlcyBhbmQgdGhlIHBoeXNpY2FsIG1lY2hhbmlzbXMgbGVhZGluZyB0byBpdHMgdHJpZ2dlcmluZyBhbmQgbWFpbnRlbmFuY2UsIGFuZCB3ZSBhbHNvIGRpc2N1c3MgcG9zc2libGUgbGlua3MgdG8gY2xpbWF0ZSBhbmQgY2xpbWF0ZSBjaGFuZ2UuIiwiaXNzdWUiOiI2Iiwidm9sdW1lIjoiMzgifSwiaXNUZW1wb3JhcnkiOmZhbHNlfV19&quot;,&quot;citationItems&quot;:[{&quot;id&quot;:&quot;30232b31-791b-346e-8165-862e1c95d2c7&quot;,&quot;itemData&quot;:{&quot;type&quot;:&quot;article-journal&quot;,&quot;id&quot;:&quot;30232b31-791b-346e-8165-862e1c95d2c7&quot;,&quot;title&quot;:&quot;Convective Self-Aggregation in Numerical Simulations: A Review&quot;,&quot;author&quot;:[{&quot;family&quot;:&quot;Wing&quot;,&quot;given&quot;:&quot;Allison A.&quot;,&quot;parse-names&quot;:false,&quot;dropping-particle&quot;:&quot;&quot;,&quot;non-dropping-particle&quot;:&quot;&quot;},{&quot;family&quot;:&quot;Emanuel&quot;,&quot;given&quot;:&quot;Kerry&quot;,&quot;parse-names&quot;:false,&quot;dropping-particle&quot;:&quot;&quot;,&quot;non-dropping-particle&quot;:&quot;&quot;},{&quot;family&quot;:&quot;Holloway&quot;,&quot;given&quot;:&quot;Christopher E.&quot;,&quot;parse-names&quot;:false,&quot;dropping-particle&quot;:&quot;&quot;,&quot;non-dropping-particle&quot;:&quot;&quot;},{&quot;family&quot;:&quot;Muller&quot;,&quot;given&quot;:&quot;Caroline&quot;,&quot;parse-names&quot;:false,&quot;dropping-particle&quot;:&quot;&quot;,&quot;non-dropping-particle&quot;:&quot;&quot;}],&quot;container-title&quot;:&quot;Surveys in Geophysics&quot;,&quot;container-title-short&quot;:&quot;Surv. Geophys.&quot;,&quot;DOI&quot;:&quot;10.1007/s10712-017-9408-4&quot;,&quot;ISSN&quot;:&quot;0169-3298&quot;,&quot;URL&quot;:&quot;http://link.springer.com/10.1007/s10712-017-9408-4&quot;,&quot;issued&quot;:{&quot;date-parts&quot;:[[2017,11,22]]},&quot;page&quot;:&quot;1173-1197&quot;,&quot;abstract&quot;:&quot;Organized convection in the tropics occurs across a range of spatial and temporal scales and strongly influences cloud cover and humidity. One mode of organization found is “self-aggregation,” in which moist convection spontaneously organizes into one or several isolated clusters despite spatially homogeneous boundary conditions and forcing. Self-aggregation is driven by interactions between clouds, moisture, radiation, surface fluxes, and circulation, and occurs in a wide variety of idealized simulations of radiative–convective equilibrium. Here we provide a review of convective self-aggregation in numerical simulations, including its character, causes, and effects. We describe the evolution of self-aggregation including its time and length scales and the physical mechanisms leading to its triggering and maintenance, and we also discuss possible links to climate and climate change.&quot;,&quot;issue&quot;:&quot;6&quot;,&quot;volume&quot;:&quot;38&quot;},&quot;isTemporary&quot;:false}]}]"/>
    <we:property name="MENDELEY_CITATIONS_LOCALE_CODE" value="&quot;en-US&quot;"/>
    <we:property name="MENDELEY_CITATIONS_STYLE" value="{&quot;id&quot;:&quot;https://www.zotero.org/styles/journal-of-geophysical-research-atmospheres&quot;,&quot;title&quot;:&quot;Journal of Geophysical Research: Atmospheres&quot;,&quot;format&quot;:&quot;author-date&quot;,&quot;defaultLocale&quot;:&quot;en-US&quot;,&quot;isLocaleCodeValid&quot;:true}"/>
    <we:property name="MENDELEY_BIBLIOGRAPHY_IS_DIRTY" value="false"/>
    <we:property name="MENDELEY_BIBLIOGRAPHY_LAST_MODIFIED" value="177493899738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4</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 Moufeng</cp:lastModifiedBy>
  <cp:revision>101</cp:revision>
  <dcterms:created xsi:type="dcterms:W3CDTF">2013-12-23T23:15:00Z</dcterms:created>
  <dcterms:modified xsi:type="dcterms:W3CDTF">2026-03-31T06:52:00Z</dcterms:modified>
  <cp:category/>
</cp:coreProperties>
</file>