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</w:rPr>
        <w:t>KPI STRATÉGIQUES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Indicateur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Valeur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Avancement du projet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61 %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réalisées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en cours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non démarrées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31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Armoires auditées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Conformité ICLB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66,9 %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Conformité ICLK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63,3 %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Personnel formé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100 %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Culture chimique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17,4 %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Validation SSE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Validation technique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XX %</w:t>
            </w:r>
          </w:p>
        </w:tc>
      </w:tr>
    </w:tbl>
    <w:p>
      <w:pPr>
        <w:pStyle w:val="Heading1"/>
        <w:rPr/>
      </w:pPr>
      <w:r>
        <w:rPr/>
        <w:t>Radar Global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Axe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Score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Inventaire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80 %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FDS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75 %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Produits expirés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60 %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Conformité armoires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65 %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Stockage chimique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70 %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Formation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45 %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Culture SSE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17 %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Actions correctives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0 %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AXE 1 : Gestion de l'inventaire des produits chimiques (15%)</w:t>
      </w:r>
    </w:p>
    <w:tbl>
      <w:tblPr>
        <w:tblW w:w="918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530"/>
        <w:gridCol w:w="4650"/>
      </w:tblGrid>
      <w:tr>
        <w:trPr>
          <w:tblHeader w:val="true"/>
        </w:trPr>
        <w:tc>
          <w:tcPr>
            <w:tcW w:w="453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l'inventaire ICLB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l'inventaire ICLK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tous les produits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codes produits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53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Désigner les responsables de suivi</w:t>
            </w:r>
          </w:p>
        </w:tc>
        <w:tc>
          <w:tcPr>
            <w:tcW w:w="465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2 : Gestion documentaire des FDS (20%)</w:t>
      </w:r>
    </w:p>
    <w:tbl>
      <w:tblPr>
        <w:tblW w:w="915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672"/>
        <w:gridCol w:w="5478"/>
      </w:tblGrid>
      <w:tr>
        <w:trPr>
          <w:tblHeader w:val="true"/>
        </w:trPr>
        <w:tc>
          <w:tcPr>
            <w:tcW w:w="3672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Recenser les FDS manquantes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Télécharger les FDS absentes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FDS &gt; 3 ans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Associer chaque produit à sa FDS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67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Mettre à jour la base documentaire</w:t>
            </w:r>
          </w:p>
        </w:tc>
        <w:tc>
          <w:tcPr>
            <w:tcW w:w="547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3 : Gestion des produits expirés (10%)</w:t>
      </w:r>
    </w:p>
    <w:tbl>
      <w:tblPr>
        <w:tblW w:w="918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618"/>
        <w:gridCol w:w="5562"/>
      </w:tblGrid>
      <w:tr>
        <w:trPr>
          <w:tblHeader w:val="true"/>
        </w:trPr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les produits expirés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Mettre en quarantaine les produits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Organiser l'élimination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Mettre à jour l'inventaire</w:t>
            </w:r>
          </w:p>
        </w:tc>
        <w:tc>
          <w:tcPr>
            <w:tcW w:w="5562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  <w:t>AXE 4 : Conformité des armoires chimiques (20%)</w:t>
      </w:r>
    </w:p>
    <w:tbl>
      <w:tblPr>
        <w:tblW w:w="924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146"/>
        <w:gridCol w:w="5094"/>
      </w:tblGrid>
      <w:tr>
        <w:trPr>
          <w:tblHeader w:val="true"/>
        </w:trPr>
        <w:tc>
          <w:tcPr>
            <w:tcW w:w="414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Audit EN 14470-1 des armoires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 ventilation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 fermeture automatique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de la rétention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15 %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du marquage réglementaire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pictogrammes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rangement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  <w:tr>
        <w:trPr/>
        <w:tc>
          <w:tcPr>
            <w:tcW w:w="414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Vérification compatibilité chimique</w:t>
            </w:r>
          </w:p>
        </w:tc>
        <w:tc>
          <w:tcPr>
            <w:tcW w:w="509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10 %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5 : Maîtrise du stockage chimique (10%)</w:t>
      </w:r>
    </w:p>
    <w:tbl>
      <w:tblPr>
        <w:tblW w:w="924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4021"/>
        <w:gridCol w:w="5219"/>
      </w:tblGrid>
      <w:tr>
        <w:trPr>
          <w:tblHeader w:val="true"/>
        </w:trPr>
        <w:tc>
          <w:tcPr>
            <w:tcW w:w="402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21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incompatibilités chimiques</w:t>
            </w:r>
          </w:p>
        </w:tc>
        <w:tc>
          <w:tcPr>
            <w:tcW w:w="52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volumes stockés</w:t>
            </w:r>
          </w:p>
        </w:tc>
        <w:tc>
          <w:tcPr>
            <w:tcW w:w="52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Contrôler les contenants</w:t>
            </w:r>
          </w:p>
        </w:tc>
        <w:tc>
          <w:tcPr>
            <w:tcW w:w="52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Contrôler l'étiquetage CLP</w:t>
            </w:r>
          </w:p>
        </w:tc>
        <w:tc>
          <w:tcPr>
            <w:tcW w:w="52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40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Contrôler les bidons vides</w:t>
            </w:r>
          </w:p>
        </w:tc>
        <w:tc>
          <w:tcPr>
            <w:tcW w:w="52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6 : Formation et sensibilisation (10%)</w:t>
      </w:r>
    </w:p>
    <w:tbl>
      <w:tblPr>
        <w:tblW w:w="930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440"/>
        <w:gridCol w:w="5860"/>
      </w:tblGrid>
      <w:tr>
        <w:trPr>
          <w:tblHeader w:val="true"/>
        </w:trPr>
        <w:tc>
          <w:tcPr>
            <w:tcW w:w="344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Identifier le personnel exposé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Vérifier les formations existantes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Former les opérateurs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Former les intérimaires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4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les animations SSE</w:t>
            </w:r>
          </w:p>
        </w:tc>
        <w:tc>
          <w:tcPr>
            <w:tcW w:w="58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rPr>
          <w:b/>
          <w:bCs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AXE 7 : Analyse terrain et culture SSE (5%)</w:t>
      </w:r>
    </w:p>
    <w:tbl>
      <w:tblPr>
        <w:tblW w:w="930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479"/>
        <w:gridCol w:w="5821"/>
      </w:tblGrid>
      <w:tr>
        <w:trPr>
          <w:tblHeader w:val="true"/>
        </w:trPr>
        <w:tc>
          <w:tcPr>
            <w:tcW w:w="347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Sous-action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Pondération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Préparer le questionnaire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Réaliser les entretiens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Analyser les résultats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actions d'amélioration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25 %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Prioriser les écarts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responsables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échéances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Suivre les actions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Clôturer les actions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Sous-action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Pondération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Prioriser les écarts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responsables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Définir les échéances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Suivre les actions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Clôturer les actions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  <w:t>20 %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160" distL="0" distR="6350" simplePos="0" locked="0" layoutInCell="0" allowOverlap="1" relativeHeight="3" wp14:anchorId="735E2FA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370205"/>
              <wp:effectExtent l="0" t="635" r="0" b="0"/>
              <wp:wrapNone/>
              <wp:docPr id="1" name="Zone de texte 2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370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2" path="m0,0l-2147483645,0l-2147483645,-2147483646l0,-2147483646xe" stroked="f" o:allowincell="f" style="position:absolute;margin-left:0pt;margin-top:0pt;width:72.95pt;height:29.1pt;mso-wrap-style:none;v-text-anchor:top;mso-position-horizontal:center;mso-position-horizontal-relative:page;mso-position-vertical:top;mso-position-vertical-relative:page" wp14:anchorId="735E2FA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795" distL="0" distR="6350" simplePos="0" locked="0" layoutInCell="0" allowOverlap="1" relativeHeight="10" wp14:anchorId="23DC9E0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561340"/>
              <wp:effectExtent l="0" t="0" r="0" b="0"/>
              <wp:wrapNone/>
              <wp:docPr id="2" name="Zone de texte 3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561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3" path="m0,0l-2147483645,0l-2147483645,-2147483646l0,-2147483646xe" stroked="f" o:allowincell="f" style="position:absolute;margin-left:261.15pt;margin-top:0pt;width:72.95pt;height:44.15pt;mso-wrap-style:none;v-text-anchor:top;mso-position-horizontal:center;mso-position-horizontal-relative:page;mso-position-vertical:top;mso-position-vertical-relative:page" wp14:anchorId="23DC9E0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0795" distL="0" distR="6350" simplePos="0" locked="0" layoutInCell="0" allowOverlap="1" relativeHeight="10" wp14:anchorId="23DC9E0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927100" cy="561340"/>
              <wp:effectExtent l="0" t="0" r="0" b="0"/>
              <wp:wrapNone/>
              <wp:docPr id="3" name="Zone de texte 3" descr="C2 - Confidenti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000" cy="561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0"/>
                            <w:rPr>
                              <w:rFonts w:ascii="Aptos" w:hAnsi="Aptos" w:eastAsia="Aptos" w:cs="Aptos"/>
                              <w:color w:val="FF8C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Aptos" w:cs="Aptos"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lIns="0" rIns="0" tIns="19044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3" path="m0,0l-2147483645,0l-2147483645,-2147483646l0,-2147483646xe" stroked="f" o:allowincell="f" style="position:absolute;margin-left:261.15pt;margin-top:0pt;width:72.95pt;height:44.15pt;mso-wrap-style:none;v-text-anchor:top;mso-position-horizontal:center;mso-position-horizontal-relative:page;mso-position-vertical:top;mso-position-vertical-relative:page" wp14:anchorId="23DC9E0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0" w:after="0"/>
                      <w:rPr>
                        <w:rFonts w:ascii="Aptos" w:hAnsi="Aptos" w:eastAsia="Aptos" w:cs="Aptos"/>
                        <w:color w:val="FF8C00"/>
                        <w:sz w:val="20"/>
                        <w:szCs w:val="20"/>
                      </w:rPr>
                    </w:pPr>
                    <w:r>
                      <w:rPr>
                        <w:rFonts w:eastAsia="Aptos" w:cs="Aptos"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5e346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5e346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5e346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5e346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5e346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5e346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5e346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5e346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5e346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5e346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5e346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5e346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5e346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5e3461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5e346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5e346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5e346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5e346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5e346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5e346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5e346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e3461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5e346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e3461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ad4d7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5e346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5e346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5e346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e346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5e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ad4d70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AF69885E7C5145A174AF6BDB50D384" ma:contentTypeVersion="9" ma:contentTypeDescription="Create a new document." ma:contentTypeScope="" ma:versionID="bc046fa5032490717eddbefe48fd08f4">
  <xsd:schema xmlns:xsd="http://www.w3.org/2001/XMLSchema" xmlns:xs="http://www.w3.org/2001/XMLSchema" xmlns:p="http://schemas.microsoft.com/office/2006/metadata/properties" xmlns:ns3="7e142c09-e703-4e31-9724-e164518f651d" targetNamespace="http://schemas.microsoft.com/office/2006/metadata/properties" ma:root="true" ma:fieldsID="ead9b2445550779cf2408afd660296e8" ns3:_="">
    <xsd:import namespace="7e142c09-e703-4e31-9724-e164518f651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42c09-e703-4e31-9724-e164518f651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142c09-e703-4e31-9724-e164518f651d" xsi:nil="true"/>
  </documentManagement>
</p:properties>
</file>

<file path=customXml/itemProps1.xml><?xml version="1.0" encoding="utf-8"?>
<ds:datastoreItem xmlns:ds="http://schemas.openxmlformats.org/officeDocument/2006/customXml" ds:itemID="{B8AB49F9-AB7F-4FA8-B161-0F17131BC7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142c09-e703-4e31-9724-e164518f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8DF30A-F0FB-4DE1-A6A3-3485D5BABE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44B6D1-4E1F-4B39-91D2-66D72F02A0CC}">
  <ds:schemaRefs>
    <ds:schemaRef ds:uri="http://schemas.microsoft.com/office/2006/metadata/properties"/>
    <ds:schemaRef ds:uri="http://schemas.microsoft.com/office/infopath/2007/PartnerControls"/>
    <ds:schemaRef ds:uri="7e142c09-e703-4e31-9724-e164518f651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Application>LibreOffice/24.2.7.2$Linux_X86_64 LibreOffice_project/420$Build-2</Application>
  <AppVersion>15.0000</AppVersion>
  <Pages>4</Pages>
  <Words>421</Words>
  <Characters>2124</Characters>
  <CharactersWithSpaces>2381</CharactersWithSpaces>
  <Paragraphs>164</Paragraphs>
  <Company>SAFRAN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2026-09-14T18:27:00Z</dcterms:created>
  <dc:creator>NJIKE Mariette Angele De Matho (SAFRAN AIRCRAFT ENGINES)</dc:creator>
  <dc:description/>
  <dc:language>fr-FR</dc:language>
  <cp:lastModifiedBy/>
  <dcterms:modified xsi:type="dcterms:W3CDTF">2026-09-15T05:52:50Z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#ff8c00,10,Aptos</vt:lpwstr>
  </property>
  <property fmtid="{D5CDD505-2E9C-101B-9397-08002B2CF9AE}" pid="3" name="ClassificationContentMarkingHeaderShapeIds">
    <vt:lpwstr>18f8cc49,33c24f6,84cf851</vt:lpwstr>
  </property>
  <property fmtid="{D5CDD505-2E9C-101B-9397-08002B2CF9AE}" pid="4" name="ClassificationContentMarkingHeaderText">
    <vt:lpwstr>C2 - Confidential</vt:lpwstr>
  </property>
  <property fmtid="{D5CDD505-2E9C-101B-9397-08002B2CF9AE}" pid="5" name="ContentTypeId">
    <vt:lpwstr>0x0101000AAF69885E7C5145A174AF6BDB50D384</vt:lpwstr>
  </property>
  <property fmtid="{D5CDD505-2E9C-101B-9397-08002B2CF9AE}" pid="6" name="_AdHocReviewCycleID">
    <vt:i4>1600706473</vt:i4>
  </property>
  <property fmtid="{D5CDD505-2E9C-101B-9397-08002B2CF9AE}" pid="7" name="_AuthorEmail">
    <vt:lpwstr>mariette-angele-de-matho.njike@safrangroup.com</vt:lpwstr>
  </property>
  <property fmtid="{D5CDD505-2E9C-101B-9397-08002B2CF9AE}" pid="8" name="_AuthorEmailDisplayName">
    <vt:lpwstr>NJIKE Mariette Angele De Matho (SAFRAN AIRCRAFT ENGINES)</vt:lpwstr>
  </property>
  <property fmtid="{D5CDD505-2E9C-101B-9397-08002B2CF9AE}" pid="9" name="_EmailSubject">
    <vt:lpwstr/>
  </property>
  <property fmtid="{D5CDD505-2E9C-101B-9397-08002B2CF9AE}" pid="10" name="_NewReviewCycle">
    <vt:lpwstr/>
  </property>
  <property fmtid="{D5CDD505-2E9C-101B-9397-08002B2CF9AE}" pid="11" name="_ReviewingToolsShownOnce">
    <vt:lpwstr/>
  </property>
</Properties>
</file>