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bCs/>
        </w:rPr>
      </w:pPr>
      <w:r>
        <w:rPr>
          <w:b/>
          <w:bCs/>
        </w:rPr>
        <w:t>FEUILLE : DASHBOARD FLUX H25</w:t>
      </w:r>
    </w:p>
    <w:p>
      <w:pPr>
        <w:pStyle w:val="Normal"/>
        <w:rPr>
          <w:b/>
          <w:bCs/>
        </w:rPr>
      </w:pPr>
      <w:r>
        <w:rPr>
          <w:b/>
          <w:bCs/>
        </w:rPr>
        <w:t>KPI stratégiques</w:t>
      </w:r>
    </w:p>
    <w:tbl>
      <w:tblPr>
        <w:tblW w:w="9180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noHBand="0" w:noVBand="1" w:firstColumn="1" w:lastRow="0" w:lastColumn="0" w:firstRow="1"/>
      </w:tblPr>
      <w:tblGrid>
        <w:gridCol w:w="5385"/>
        <w:gridCol w:w="3795"/>
      </w:tblGrid>
      <w:tr>
        <w:trPr>
          <w:tblHeader w:val="true"/>
        </w:trPr>
        <w:tc>
          <w:tcPr>
            <w:tcW w:w="5385" w:type="dxa"/>
            <w:tcBorders/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Indicateur</w:t>
            </w:r>
          </w:p>
        </w:tc>
        <w:tc>
          <w:tcPr>
            <w:tcW w:w="3795" w:type="dxa"/>
            <w:tcBorders/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Valeur</w:t>
            </w:r>
          </w:p>
        </w:tc>
      </w:tr>
      <w:tr>
        <w:trPr/>
        <w:tc>
          <w:tcPr>
            <w:tcW w:w="5385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Avancement du projet</w:t>
            </w:r>
          </w:p>
        </w:tc>
        <w:tc>
          <w:tcPr>
            <w:tcW w:w="3795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XX %</w:t>
            </w:r>
          </w:p>
        </w:tc>
      </w:tr>
      <w:tr>
        <w:trPr/>
        <w:tc>
          <w:tcPr>
            <w:tcW w:w="5385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Actions réalisées</w:t>
            </w:r>
          </w:p>
        </w:tc>
        <w:tc>
          <w:tcPr>
            <w:tcW w:w="3795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XX</w:t>
            </w:r>
          </w:p>
        </w:tc>
      </w:tr>
      <w:tr>
        <w:trPr/>
        <w:tc>
          <w:tcPr>
            <w:tcW w:w="5385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Actions en cours</w:t>
            </w:r>
          </w:p>
        </w:tc>
        <w:tc>
          <w:tcPr>
            <w:tcW w:w="3795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XX</w:t>
            </w:r>
          </w:p>
        </w:tc>
      </w:tr>
      <w:tr>
        <w:trPr/>
        <w:tc>
          <w:tcPr>
            <w:tcW w:w="5385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Actions non démarrées</w:t>
            </w:r>
          </w:p>
        </w:tc>
        <w:tc>
          <w:tcPr>
            <w:tcW w:w="3795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XX</w:t>
            </w:r>
          </w:p>
        </w:tc>
      </w:tr>
      <w:tr>
        <w:trPr/>
        <w:tc>
          <w:tcPr>
            <w:tcW w:w="5385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Produits candidats identifiés</w:t>
            </w:r>
          </w:p>
        </w:tc>
        <w:tc>
          <w:tcPr>
            <w:tcW w:w="3795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XX</w:t>
            </w:r>
          </w:p>
        </w:tc>
      </w:tr>
      <w:tr>
        <w:trPr/>
        <w:tc>
          <w:tcPr>
            <w:tcW w:w="5385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Essais réalisés</w:t>
            </w:r>
          </w:p>
        </w:tc>
        <w:tc>
          <w:tcPr>
            <w:tcW w:w="3795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XX</w:t>
            </w:r>
          </w:p>
        </w:tc>
      </w:tr>
      <w:tr>
        <w:trPr/>
        <w:tc>
          <w:tcPr>
            <w:tcW w:w="5385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Validation SSE</w:t>
            </w:r>
          </w:p>
        </w:tc>
        <w:tc>
          <w:tcPr>
            <w:tcW w:w="3795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XX %</w:t>
            </w:r>
          </w:p>
        </w:tc>
      </w:tr>
      <w:tr>
        <w:trPr/>
        <w:tc>
          <w:tcPr>
            <w:tcW w:w="5385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Validation technique</w:t>
            </w:r>
          </w:p>
        </w:tc>
        <w:tc>
          <w:tcPr>
            <w:tcW w:w="3795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XX %</w:t>
            </w:r>
          </w:p>
        </w:tc>
      </w:tr>
    </w:tbl>
    <w:p>
      <w:pPr>
        <w:pStyle w:val="Normal"/>
        <w:rPr>
          <w:b/>
          <w:bCs/>
        </w:rPr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FEUILLE : PLAN D'ACTIONS FLUX H25</w:t>
      </w:r>
    </w:p>
    <w:p>
      <w:pPr>
        <w:pStyle w:val="Normal"/>
        <w:rPr>
          <w:b/>
          <w:bCs/>
        </w:rPr>
      </w:pPr>
      <w:r>
        <w:rPr>
          <w:b/>
          <w:bCs/>
        </w:rPr>
        <w:t>Axe 1 - Pilotage du projet (100%)</w:t>
      </w:r>
    </w:p>
    <w:tbl>
      <w:tblPr>
        <w:tblW w:w="9240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noHBand="0" w:noVBand="1" w:firstColumn="1" w:lastRow="0" w:lastColumn="0" w:firstRow="1"/>
      </w:tblPr>
      <w:tblGrid>
        <w:gridCol w:w="4755"/>
        <w:gridCol w:w="1995"/>
        <w:gridCol w:w="2490"/>
      </w:tblGrid>
      <w:tr>
        <w:trPr>
          <w:tblHeader w:val="true"/>
        </w:trPr>
        <w:tc>
          <w:tcPr>
            <w:tcW w:w="4755" w:type="dxa"/>
            <w:tcBorders/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Sous-action</w:t>
            </w:r>
          </w:p>
        </w:tc>
        <w:tc>
          <w:tcPr>
            <w:tcW w:w="1995" w:type="dxa"/>
            <w:tcBorders/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Pondération</w:t>
            </w:r>
          </w:p>
        </w:tc>
        <w:tc>
          <w:tcPr>
            <w:tcW w:w="249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>
                <w:b/>
              </w:rPr>
              <w:t>Statut</w:t>
            </w:r>
          </w:p>
        </w:tc>
      </w:tr>
      <w:tr>
        <w:trPr/>
        <w:tc>
          <w:tcPr>
            <w:tcW w:w="4755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Désigner le pilote projet</w:t>
            </w:r>
          </w:p>
        </w:tc>
        <w:tc>
          <w:tcPr>
            <w:tcW w:w="1995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25 %</w:t>
            </w:r>
          </w:p>
        </w:tc>
        <w:tc>
          <w:tcPr>
            <w:tcW w:w="249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Non démarré</w:t>
            </w:r>
          </w:p>
        </w:tc>
      </w:tr>
      <w:tr>
        <w:trPr/>
        <w:tc>
          <w:tcPr>
            <w:tcW w:w="4755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Organiser le lancement projet</w:t>
            </w:r>
          </w:p>
        </w:tc>
        <w:tc>
          <w:tcPr>
            <w:tcW w:w="1995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25 %</w:t>
            </w:r>
          </w:p>
        </w:tc>
        <w:tc>
          <w:tcPr>
            <w:tcW w:w="249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Non démarré</w:t>
            </w:r>
          </w:p>
        </w:tc>
      </w:tr>
      <w:tr>
        <w:trPr/>
        <w:tc>
          <w:tcPr>
            <w:tcW w:w="4755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Définir les rôles des acteurs</w:t>
            </w:r>
          </w:p>
        </w:tc>
        <w:tc>
          <w:tcPr>
            <w:tcW w:w="1995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25 %</w:t>
            </w:r>
          </w:p>
        </w:tc>
        <w:tc>
          <w:tcPr>
            <w:tcW w:w="249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Non démarré</w:t>
            </w:r>
          </w:p>
        </w:tc>
      </w:tr>
      <w:tr>
        <w:trPr/>
        <w:tc>
          <w:tcPr>
            <w:tcW w:w="4755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Valider le planning</w:t>
            </w:r>
          </w:p>
        </w:tc>
        <w:tc>
          <w:tcPr>
            <w:tcW w:w="1995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25 %</w:t>
            </w:r>
          </w:p>
        </w:tc>
        <w:tc>
          <w:tcPr>
            <w:tcW w:w="249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Non démarré</w:t>
            </w:r>
          </w:p>
        </w:tc>
      </w:tr>
    </w:tbl>
    <w:p>
      <w:pPr>
        <w:pStyle w:val="Normal"/>
        <w:rPr>
          <w:b/>
          <w:bCs/>
        </w:rPr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Axe 2 - Analyse du procédé (100%)</w:t>
      </w:r>
    </w:p>
    <w:tbl>
      <w:tblPr>
        <w:tblW w:w="9255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noHBand="0" w:noVBand="1" w:firstColumn="1" w:lastRow="0" w:lastColumn="0" w:firstRow="1"/>
      </w:tblPr>
      <w:tblGrid>
        <w:gridCol w:w="4639"/>
        <w:gridCol w:w="1402"/>
        <w:gridCol w:w="3214"/>
      </w:tblGrid>
      <w:tr>
        <w:trPr>
          <w:tblHeader w:val="true"/>
        </w:trPr>
        <w:tc>
          <w:tcPr>
            <w:tcW w:w="4639" w:type="dxa"/>
            <w:tcBorders/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Sous-action</w:t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Pondération</w:t>
            </w:r>
          </w:p>
        </w:tc>
        <w:tc>
          <w:tcPr>
            <w:tcW w:w="3214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>
                <w:b/>
              </w:rPr>
              <w:t>Statut</w:t>
            </w:r>
          </w:p>
        </w:tc>
      </w:tr>
      <w:tr>
        <w:trPr/>
        <w:tc>
          <w:tcPr>
            <w:tcW w:w="4639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Identifier les étapes d'utilisation du Flux H25</w:t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25 %</w:t>
            </w:r>
          </w:p>
        </w:tc>
        <w:tc>
          <w:tcPr>
            <w:tcW w:w="3214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Non démarré</w:t>
            </w:r>
          </w:p>
        </w:tc>
      </w:tr>
      <w:tr>
        <w:trPr/>
        <w:tc>
          <w:tcPr>
            <w:tcW w:w="4639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Identifier les contraintes techniques</w:t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25 %</w:t>
            </w:r>
          </w:p>
        </w:tc>
        <w:tc>
          <w:tcPr>
            <w:tcW w:w="3214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Non démarré</w:t>
            </w:r>
          </w:p>
        </w:tc>
      </w:tr>
      <w:tr>
        <w:trPr/>
        <w:tc>
          <w:tcPr>
            <w:tcW w:w="4639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Identifier les émissions de fumées</w:t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25 %</w:t>
            </w:r>
          </w:p>
        </w:tc>
        <w:tc>
          <w:tcPr>
            <w:tcW w:w="3214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Non démarré</w:t>
            </w:r>
          </w:p>
        </w:tc>
      </w:tr>
      <w:tr>
        <w:trPr/>
        <w:tc>
          <w:tcPr>
            <w:tcW w:w="4639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Formaliser les risques SSE</w:t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25 %</w:t>
            </w:r>
          </w:p>
        </w:tc>
        <w:tc>
          <w:tcPr>
            <w:tcW w:w="3214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Non démarré</w:t>
            </w:r>
          </w:p>
        </w:tc>
      </w:tr>
    </w:tbl>
    <w:p>
      <w:pPr>
        <w:pStyle w:val="Normal"/>
        <w:rPr>
          <w:b/>
          <w:bCs/>
        </w:rPr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Axe 3 - Recherche des produits candidats (100%)</w:t>
      </w:r>
    </w:p>
    <w:tbl>
      <w:tblPr>
        <w:tblW w:w="9315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noHBand="0" w:noVBand="1" w:firstColumn="1" w:lastRow="0" w:lastColumn="0" w:firstRow="1"/>
      </w:tblPr>
      <w:tblGrid>
        <w:gridCol w:w="3812"/>
        <w:gridCol w:w="2953"/>
        <w:gridCol w:w="2550"/>
      </w:tblGrid>
      <w:tr>
        <w:trPr>
          <w:tblHeader w:val="true"/>
        </w:trPr>
        <w:tc>
          <w:tcPr>
            <w:tcW w:w="3812" w:type="dxa"/>
            <w:tcBorders/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Sous-action</w:t>
            </w:r>
          </w:p>
        </w:tc>
        <w:tc>
          <w:tcPr>
            <w:tcW w:w="2953" w:type="dxa"/>
            <w:tcBorders/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Pondération</w:t>
            </w:r>
          </w:p>
        </w:tc>
        <w:tc>
          <w:tcPr>
            <w:tcW w:w="255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>
                <w:b/>
              </w:rPr>
              <w:t>Statut</w:t>
            </w:r>
          </w:p>
        </w:tc>
      </w:tr>
      <w:tr>
        <w:trPr/>
        <w:tc>
          <w:tcPr>
            <w:tcW w:w="3812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Rechercher des solutions existantes</w:t>
            </w:r>
          </w:p>
        </w:tc>
        <w:tc>
          <w:tcPr>
            <w:tcW w:w="2953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20 %</w:t>
            </w:r>
          </w:p>
        </w:tc>
        <w:tc>
          <w:tcPr>
            <w:tcW w:w="255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Non démarré</w:t>
            </w:r>
          </w:p>
        </w:tc>
      </w:tr>
      <w:tr>
        <w:trPr/>
        <w:tc>
          <w:tcPr>
            <w:tcW w:w="3812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Étudier le retour d'expérience Inde</w:t>
            </w:r>
          </w:p>
        </w:tc>
        <w:tc>
          <w:tcPr>
            <w:tcW w:w="2953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20 %</w:t>
            </w:r>
          </w:p>
        </w:tc>
        <w:tc>
          <w:tcPr>
            <w:tcW w:w="255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Non démarré</w:t>
            </w:r>
          </w:p>
        </w:tc>
      </w:tr>
      <w:tr>
        <w:trPr/>
        <w:tc>
          <w:tcPr>
            <w:tcW w:w="3812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Identifier les flux candidats</w:t>
            </w:r>
          </w:p>
        </w:tc>
        <w:tc>
          <w:tcPr>
            <w:tcW w:w="2953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20 %</w:t>
            </w:r>
          </w:p>
        </w:tc>
        <w:tc>
          <w:tcPr>
            <w:tcW w:w="255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Non démarré</w:t>
            </w:r>
          </w:p>
        </w:tc>
      </w:tr>
      <w:tr>
        <w:trPr/>
        <w:tc>
          <w:tcPr>
            <w:tcW w:w="3812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Vérifier la compatibilité technique</w:t>
            </w:r>
          </w:p>
        </w:tc>
        <w:tc>
          <w:tcPr>
            <w:tcW w:w="2953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20 %</w:t>
            </w:r>
          </w:p>
        </w:tc>
        <w:tc>
          <w:tcPr>
            <w:tcW w:w="255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Non démarré</w:t>
            </w:r>
          </w:p>
        </w:tc>
      </w:tr>
      <w:tr>
        <w:trPr/>
        <w:tc>
          <w:tcPr>
            <w:tcW w:w="3812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Valider la présélection</w:t>
            </w:r>
          </w:p>
        </w:tc>
        <w:tc>
          <w:tcPr>
            <w:tcW w:w="2953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20 %</w:t>
            </w:r>
          </w:p>
        </w:tc>
        <w:tc>
          <w:tcPr>
            <w:tcW w:w="255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Non démarré</w:t>
            </w:r>
          </w:p>
        </w:tc>
      </w:tr>
    </w:tbl>
    <w:p>
      <w:pPr>
        <w:pStyle w:val="Normal"/>
        <w:rPr>
          <w:b/>
          <w:bCs/>
        </w:rPr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Axe 4 - Étude documentaire (100%)</w:t>
      </w:r>
    </w:p>
    <w:tbl>
      <w:tblPr>
        <w:tblW w:w="9360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noHBand="0" w:noVBand="1" w:firstColumn="1" w:lastRow="0" w:lastColumn="0" w:firstRow="1"/>
      </w:tblPr>
      <w:tblGrid>
        <w:gridCol w:w="3583"/>
        <w:gridCol w:w="1802"/>
        <w:gridCol w:w="3975"/>
      </w:tblGrid>
      <w:tr>
        <w:trPr>
          <w:tblHeader w:val="true"/>
        </w:trPr>
        <w:tc>
          <w:tcPr>
            <w:tcW w:w="3583" w:type="dxa"/>
            <w:tcBorders/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Sous-action</w:t>
            </w:r>
          </w:p>
        </w:tc>
        <w:tc>
          <w:tcPr>
            <w:tcW w:w="1802" w:type="dxa"/>
            <w:tcBorders/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Pondération</w:t>
            </w:r>
          </w:p>
        </w:tc>
        <w:tc>
          <w:tcPr>
            <w:tcW w:w="3975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>
                <w:b/>
              </w:rPr>
              <w:t>Statut</w:t>
            </w:r>
          </w:p>
        </w:tc>
      </w:tr>
      <w:tr>
        <w:trPr/>
        <w:tc>
          <w:tcPr>
            <w:tcW w:w="3583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Collecter les FDS des candidats</w:t>
            </w:r>
          </w:p>
        </w:tc>
        <w:tc>
          <w:tcPr>
            <w:tcW w:w="1802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20 %</w:t>
            </w:r>
          </w:p>
        </w:tc>
        <w:tc>
          <w:tcPr>
            <w:tcW w:w="3975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Non démarré</w:t>
            </w:r>
          </w:p>
        </w:tc>
      </w:tr>
      <w:tr>
        <w:trPr/>
        <w:tc>
          <w:tcPr>
            <w:tcW w:w="3583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Identifier les substances actives</w:t>
            </w:r>
          </w:p>
        </w:tc>
        <w:tc>
          <w:tcPr>
            <w:tcW w:w="1802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20 %</w:t>
            </w:r>
          </w:p>
        </w:tc>
        <w:tc>
          <w:tcPr>
            <w:tcW w:w="3975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Non démarré</w:t>
            </w:r>
          </w:p>
        </w:tc>
      </w:tr>
      <w:tr>
        <w:trPr/>
        <w:tc>
          <w:tcPr>
            <w:tcW w:w="3583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Analyser les dangers</w:t>
            </w:r>
          </w:p>
        </w:tc>
        <w:tc>
          <w:tcPr>
            <w:tcW w:w="1802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20 %</w:t>
            </w:r>
          </w:p>
        </w:tc>
        <w:tc>
          <w:tcPr>
            <w:tcW w:w="3975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Non démarré</w:t>
            </w:r>
          </w:p>
        </w:tc>
      </w:tr>
      <w:tr>
        <w:trPr/>
        <w:tc>
          <w:tcPr>
            <w:tcW w:w="3583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Analyser les risques SSE</w:t>
            </w:r>
          </w:p>
        </w:tc>
        <w:tc>
          <w:tcPr>
            <w:tcW w:w="1802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20 %</w:t>
            </w:r>
          </w:p>
        </w:tc>
        <w:tc>
          <w:tcPr>
            <w:tcW w:w="3975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Non démarré</w:t>
            </w:r>
          </w:p>
        </w:tc>
      </w:tr>
      <w:tr>
        <w:trPr/>
        <w:tc>
          <w:tcPr>
            <w:tcW w:w="3583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Rédiger la synthèse documentaire</w:t>
            </w:r>
          </w:p>
        </w:tc>
        <w:tc>
          <w:tcPr>
            <w:tcW w:w="1802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20 %</w:t>
            </w:r>
          </w:p>
        </w:tc>
        <w:tc>
          <w:tcPr>
            <w:tcW w:w="3975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Non démarré</w:t>
            </w:r>
          </w:p>
        </w:tc>
      </w:tr>
    </w:tbl>
    <w:p>
      <w:pPr>
        <w:pStyle w:val="Normal"/>
        <w:rPr>
          <w:b/>
          <w:bCs/>
        </w:rPr>
      </w:pPr>
      <w:r>
        <w:rPr/>
      </w:r>
    </w:p>
    <w:p>
      <w:pPr>
        <w:pStyle w:val="Normal"/>
        <w:rPr>
          <w:b/>
          <w:bCs/>
        </w:rPr>
      </w:pPr>
      <w:r>
        <w:rPr/>
      </w:r>
    </w:p>
    <w:p>
      <w:pPr>
        <w:pStyle w:val="Normal"/>
        <w:rPr>
          <w:b/>
          <w:bCs/>
        </w:rPr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Axe 5 - Données techniques (100%)</w:t>
      </w:r>
    </w:p>
    <w:tbl>
      <w:tblPr>
        <w:tblW w:w="9150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noHBand="0" w:noVBand="1" w:firstColumn="1" w:lastRow="0" w:lastColumn="0" w:firstRow="1"/>
      </w:tblPr>
      <w:tblGrid>
        <w:gridCol w:w="4155"/>
        <w:gridCol w:w="2040"/>
        <w:gridCol w:w="2955"/>
      </w:tblGrid>
      <w:tr>
        <w:trPr>
          <w:tblHeader w:val="true"/>
        </w:trPr>
        <w:tc>
          <w:tcPr>
            <w:tcW w:w="4155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Sous-action</w:t>
            </w:r>
          </w:p>
        </w:tc>
        <w:tc>
          <w:tcPr>
            <w:tcW w:w="2040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Pondération</w:t>
            </w:r>
          </w:p>
        </w:tc>
        <w:tc>
          <w:tcPr>
            <w:tcW w:w="2955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>
                <w:b/>
              </w:rPr>
              <w:t>Statut</w:t>
            </w:r>
          </w:p>
        </w:tc>
      </w:tr>
      <w:tr>
        <w:trPr/>
        <w:tc>
          <w:tcPr>
            <w:tcW w:w="4155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Identifier les pièces concernées</w:t>
            </w:r>
          </w:p>
        </w:tc>
        <w:tc>
          <w:tcPr>
            <w:tcW w:w="2040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25 %</w:t>
            </w:r>
          </w:p>
        </w:tc>
        <w:tc>
          <w:tcPr>
            <w:tcW w:w="2955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Non démarré</w:t>
            </w:r>
          </w:p>
        </w:tc>
      </w:tr>
      <w:tr>
        <w:trPr/>
        <w:tc>
          <w:tcPr>
            <w:tcW w:w="4155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Récupérer les données DMR35</w:t>
            </w:r>
          </w:p>
        </w:tc>
        <w:tc>
          <w:tcPr>
            <w:tcW w:w="2040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25 %</w:t>
            </w:r>
          </w:p>
        </w:tc>
        <w:tc>
          <w:tcPr>
            <w:tcW w:w="2955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Non démarré</w:t>
            </w:r>
          </w:p>
        </w:tc>
      </w:tr>
      <w:tr>
        <w:trPr/>
        <w:tc>
          <w:tcPr>
            <w:tcW w:w="4155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Identifier les matériaux</w:t>
            </w:r>
          </w:p>
        </w:tc>
        <w:tc>
          <w:tcPr>
            <w:tcW w:w="2040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25 %</w:t>
            </w:r>
          </w:p>
        </w:tc>
        <w:tc>
          <w:tcPr>
            <w:tcW w:w="2955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Non démarré</w:t>
            </w:r>
          </w:p>
        </w:tc>
      </w:tr>
      <w:tr>
        <w:trPr/>
        <w:tc>
          <w:tcPr>
            <w:tcW w:w="4155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Consolider le dossier technique</w:t>
            </w:r>
          </w:p>
        </w:tc>
        <w:tc>
          <w:tcPr>
            <w:tcW w:w="2040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25 %</w:t>
            </w:r>
          </w:p>
        </w:tc>
        <w:tc>
          <w:tcPr>
            <w:tcW w:w="2955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Non démarré</w:t>
            </w:r>
          </w:p>
        </w:tc>
      </w:tr>
    </w:tbl>
    <w:p>
      <w:pPr>
        <w:pStyle w:val="Normal"/>
        <w:rPr>
          <w:b/>
          <w:bCs/>
        </w:rPr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Axe 6 - Stockage du Flux H25 (100%)</w:t>
      </w:r>
    </w:p>
    <w:tbl>
      <w:tblPr>
        <w:tblW w:w="9090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noHBand="0" w:noVBand="1" w:firstColumn="1" w:lastRow="0" w:lastColumn="0" w:firstRow="1"/>
      </w:tblPr>
      <w:tblGrid>
        <w:gridCol w:w="2687"/>
        <w:gridCol w:w="2068"/>
        <w:gridCol w:w="4335"/>
      </w:tblGrid>
      <w:tr>
        <w:trPr>
          <w:tblHeader w:val="true"/>
        </w:trPr>
        <w:tc>
          <w:tcPr>
            <w:tcW w:w="2687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Sous-action</w:t>
            </w:r>
          </w:p>
        </w:tc>
        <w:tc>
          <w:tcPr>
            <w:tcW w:w="2068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Pondération</w:t>
            </w:r>
          </w:p>
        </w:tc>
        <w:tc>
          <w:tcPr>
            <w:tcW w:w="4335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>
                <w:b/>
              </w:rPr>
              <w:t>Statut</w:t>
            </w:r>
          </w:p>
        </w:tc>
      </w:tr>
      <w:tr>
        <w:trPr/>
        <w:tc>
          <w:tcPr>
            <w:tcW w:w="2687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Définir le besoin</w:t>
            </w:r>
          </w:p>
        </w:tc>
        <w:tc>
          <w:tcPr>
            <w:tcW w:w="2068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20 %</w:t>
            </w:r>
          </w:p>
        </w:tc>
        <w:tc>
          <w:tcPr>
            <w:tcW w:w="4335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Non démarré</w:t>
            </w:r>
          </w:p>
        </w:tc>
      </w:tr>
      <w:tr>
        <w:trPr/>
        <w:tc>
          <w:tcPr>
            <w:tcW w:w="2687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Choisir l'armoire adaptée</w:t>
            </w:r>
          </w:p>
        </w:tc>
        <w:tc>
          <w:tcPr>
            <w:tcW w:w="2068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20 %</w:t>
            </w:r>
          </w:p>
        </w:tc>
        <w:tc>
          <w:tcPr>
            <w:tcW w:w="4335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Non démarré</w:t>
            </w:r>
          </w:p>
        </w:tc>
      </w:tr>
      <w:tr>
        <w:trPr/>
        <w:tc>
          <w:tcPr>
            <w:tcW w:w="2687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Installer l'armoire</w:t>
            </w:r>
          </w:p>
        </w:tc>
        <w:tc>
          <w:tcPr>
            <w:tcW w:w="2068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30 %</w:t>
            </w:r>
          </w:p>
        </w:tc>
        <w:tc>
          <w:tcPr>
            <w:tcW w:w="4335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Non démarré</w:t>
            </w:r>
          </w:p>
        </w:tc>
      </w:tr>
      <w:tr>
        <w:trPr/>
        <w:tc>
          <w:tcPr>
            <w:tcW w:w="2687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Vérifier la conformité</w:t>
            </w:r>
          </w:p>
        </w:tc>
        <w:tc>
          <w:tcPr>
            <w:tcW w:w="2068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30 %</w:t>
            </w:r>
          </w:p>
        </w:tc>
        <w:tc>
          <w:tcPr>
            <w:tcW w:w="4335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Non démarré</w:t>
            </w:r>
          </w:p>
        </w:tc>
      </w:tr>
    </w:tbl>
    <w:p>
      <w:pPr>
        <w:pStyle w:val="Normal"/>
        <w:rPr>
          <w:b/>
          <w:bCs/>
        </w:rPr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Axe 7 - Essais d'innocuité (100%)</w:t>
      </w:r>
    </w:p>
    <w:tbl>
      <w:tblPr>
        <w:tblW w:w="9135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noHBand="0" w:noVBand="1" w:firstColumn="1" w:lastRow="0" w:lastColumn="0" w:firstRow="1"/>
      </w:tblPr>
      <w:tblGrid>
        <w:gridCol w:w="3449"/>
        <w:gridCol w:w="2056"/>
        <w:gridCol w:w="3630"/>
      </w:tblGrid>
      <w:tr>
        <w:trPr>
          <w:tblHeader w:val="true"/>
        </w:trPr>
        <w:tc>
          <w:tcPr>
            <w:tcW w:w="3449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Sous-action</w:t>
            </w:r>
          </w:p>
        </w:tc>
        <w:tc>
          <w:tcPr>
            <w:tcW w:w="2056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Pondération</w:t>
            </w:r>
          </w:p>
        </w:tc>
        <w:tc>
          <w:tcPr>
            <w:tcW w:w="363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>
                <w:b/>
              </w:rPr>
              <w:t>Statut</w:t>
            </w:r>
          </w:p>
        </w:tc>
      </w:tr>
      <w:tr>
        <w:trPr/>
        <w:tc>
          <w:tcPr>
            <w:tcW w:w="3449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Identifier les interlocuteurs YQLL</w:t>
            </w:r>
          </w:p>
        </w:tc>
        <w:tc>
          <w:tcPr>
            <w:tcW w:w="2056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20 %</w:t>
            </w:r>
          </w:p>
        </w:tc>
        <w:tc>
          <w:tcPr>
            <w:tcW w:w="363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Non démarré</w:t>
            </w:r>
          </w:p>
        </w:tc>
      </w:tr>
      <w:tr>
        <w:trPr/>
        <w:tc>
          <w:tcPr>
            <w:tcW w:w="3449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Préparer les essais</w:t>
            </w:r>
          </w:p>
        </w:tc>
        <w:tc>
          <w:tcPr>
            <w:tcW w:w="2056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20 %</w:t>
            </w:r>
          </w:p>
        </w:tc>
        <w:tc>
          <w:tcPr>
            <w:tcW w:w="363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Non démarré</w:t>
            </w:r>
          </w:p>
        </w:tc>
      </w:tr>
      <w:tr>
        <w:trPr/>
        <w:tc>
          <w:tcPr>
            <w:tcW w:w="3449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Réaliser les essais</w:t>
            </w:r>
          </w:p>
        </w:tc>
        <w:tc>
          <w:tcPr>
            <w:tcW w:w="2056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30 %</w:t>
            </w:r>
          </w:p>
        </w:tc>
        <w:tc>
          <w:tcPr>
            <w:tcW w:w="363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Non démarré</w:t>
            </w:r>
          </w:p>
        </w:tc>
      </w:tr>
      <w:tr>
        <w:trPr/>
        <w:tc>
          <w:tcPr>
            <w:tcW w:w="3449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Analyser les résultats</w:t>
            </w:r>
          </w:p>
        </w:tc>
        <w:tc>
          <w:tcPr>
            <w:tcW w:w="2056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30 %</w:t>
            </w:r>
          </w:p>
        </w:tc>
        <w:tc>
          <w:tcPr>
            <w:tcW w:w="363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Non démarré</w:t>
            </w:r>
          </w:p>
        </w:tc>
      </w:tr>
    </w:tbl>
    <w:p>
      <w:pPr>
        <w:pStyle w:val="Normal"/>
        <w:rPr>
          <w:b/>
          <w:bCs/>
        </w:rPr>
      </w:pPr>
      <w:r>
        <w:rPr/>
      </w:r>
    </w:p>
    <w:p>
      <w:pPr>
        <w:pStyle w:val="Normal"/>
        <w:rPr>
          <w:b/>
          <w:bCs/>
        </w:rPr>
      </w:pPr>
      <w:r>
        <w:rPr/>
      </w:r>
    </w:p>
    <w:p>
      <w:pPr>
        <w:pStyle w:val="Normal"/>
        <w:rPr>
          <w:b/>
          <w:bCs/>
        </w:rPr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Axe 8 - Validation technique (100%)</w:t>
      </w:r>
    </w:p>
    <w:tbl>
      <w:tblPr>
        <w:tblW w:w="9360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noHBand="0" w:noVBand="1" w:firstColumn="1" w:lastRow="0" w:lastColumn="0" w:firstRow="1"/>
      </w:tblPr>
      <w:tblGrid>
        <w:gridCol w:w="3148"/>
        <w:gridCol w:w="2117"/>
        <w:gridCol w:w="4095"/>
      </w:tblGrid>
      <w:tr>
        <w:trPr>
          <w:tblHeader w:val="true"/>
        </w:trPr>
        <w:tc>
          <w:tcPr>
            <w:tcW w:w="3148" w:type="dxa"/>
            <w:tcBorders/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Sous-action</w:t>
            </w:r>
          </w:p>
        </w:tc>
        <w:tc>
          <w:tcPr>
            <w:tcW w:w="2117" w:type="dxa"/>
            <w:tcBorders/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Pondération</w:t>
            </w:r>
          </w:p>
        </w:tc>
        <w:tc>
          <w:tcPr>
            <w:tcW w:w="4095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>
                <w:b/>
              </w:rPr>
              <w:t>Statut</w:t>
            </w:r>
          </w:p>
        </w:tc>
      </w:tr>
      <w:tr>
        <w:trPr/>
        <w:tc>
          <w:tcPr>
            <w:tcW w:w="3148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Réaliser les essais de brasage</w:t>
            </w:r>
          </w:p>
        </w:tc>
        <w:tc>
          <w:tcPr>
            <w:tcW w:w="2117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25 %</w:t>
            </w:r>
          </w:p>
        </w:tc>
        <w:tc>
          <w:tcPr>
            <w:tcW w:w="4095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Non démarré</w:t>
            </w:r>
          </w:p>
        </w:tc>
      </w:tr>
      <w:tr>
        <w:trPr/>
        <w:tc>
          <w:tcPr>
            <w:tcW w:w="3148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Évaluer la qualité obtenue</w:t>
            </w:r>
          </w:p>
        </w:tc>
        <w:tc>
          <w:tcPr>
            <w:tcW w:w="2117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25 %</w:t>
            </w:r>
          </w:p>
        </w:tc>
        <w:tc>
          <w:tcPr>
            <w:tcW w:w="4095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Non démarré</w:t>
            </w:r>
          </w:p>
        </w:tc>
      </w:tr>
      <w:tr>
        <w:trPr/>
        <w:tc>
          <w:tcPr>
            <w:tcW w:w="3148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Réaliser les essais DVI</w:t>
            </w:r>
          </w:p>
        </w:tc>
        <w:tc>
          <w:tcPr>
            <w:tcW w:w="2117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25 %</w:t>
            </w:r>
          </w:p>
        </w:tc>
        <w:tc>
          <w:tcPr>
            <w:tcW w:w="4095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Non démarré</w:t>
            </w:r>
          </w:p>
        </w:tc>
      </w:tr>
      <w:tr>
        <w:trPr/>
        <w:tc>
          <w:tcPr>
            <w:tcW w:w="3148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Valider les performances</w:t>
            </w:r>
          </w:p>
        </w:tc>
        <w:tc>
          <w:tcPr>
            <w:tcW w:w="2117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25 %</w:t>
            </w:r>
          </w:p>
        </w:tc>
        <w:tc>
          <w:tcPr>
            <w:tcW w:w="4095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Non démarré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Axe 9 - Prestations laboratoire (100%)</w:t>
      </w:r>
    </w:p>
    <w:p>
      <w:pPr>
        <w:pStyle w:val="Normal"/>
        <w:rPr>
          <w:i/>
          <w:i/>
        </w:rPr>
      </w:pPr>
      <w:r>
        <w:rPr>
          <w:i/>
        </w:rPr>
        <w:t xml:space="preserve">⚠️ </w:t>
      </w:r>
      <w:r>
        <w:rPr>
          <w:i/>
        </w:rPr>
        <w:t>Sous-actions proposées à titre indicatif — à valider/adapter avec le référent laboratoire.</w:t>
      </w:r>
    </w:p>
    <w:tbl>
      <w:tblPr>
        <w:tblW w:w="907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024"/>
        <w:gridCol w:w="3024"/>
        <w:gridCol w:w="3024"/>
      </w:tblGrid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>
                <w:b/>
              </w:rPr>
              <w:t>Sous-action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>
                <w:b/>
              </w:rPr>
              <w:t>Pondération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>
                <w:b/>
              </w:rPr>
              <w:t>Statut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Solliciter le laboratoire partenaire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25 %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Non démarré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Réaliser les analyses demandées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25 %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Non démarré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Consolider les résultats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25 %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Non démarré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Valider le rapport final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25 %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Non démarré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KPI Dashboard recommandés</w:t>
      </w:r>
    </w:p>
    <w:p>
      <w:pPr>
        <w:pStyle w:val="Normal"/>
        <w:rPr>
          <w:b/>
          <w:bCs/>
        </w:rPr>
      </w:pPr>
      <w:r>
        <w:rPr>
          <w:b/>
          <w:bCs/>
        </w:rPr>
        <w:t>Technique</w:t>
      </w:r>
    </w:p>
    <w:p>
      <w:pPr>
        <w:pStyle w:val="Normal"/>
        <w:numPr>
          <w:ilvl w:val="0"/>
          <w:numId w:val="1"/>
        </w:numPr>
        <w:rPr/>
      </w:pPr>
      <w:r>
        <w:rPr/>
        <w:t>Produits candidats identifiés</w:t>
      </w:r>
    </w:p>
    <w:p>
      <w:pPr>
        <w:pStyle w:val="Normal"/>
        <w:numPr>
          <w:ilvl w:val="0"/>
          <w:numId w:val="1"/>
        </w:numPr>
        <w:rPr/>
      </w:pPr>
      <w:r>
        <w:rPr/>
        <w:t>Produits candidats validés</w:t>
      </w:r>
    </w:p>
    <w:p>
      <w:pPr>
        <w:pStyle w:val="Normal"/>
        <w:numPr>
          <w:ilvl w:val="0"/>
          <w:numId w:val="1"/>
        </w:numPr>
        <w:rPr/>
      </w:pPr>
      <w:r>
        <w:rPr/>
        <w:t>Essais réalisés</w:t>
      </w:r>
    </w:p>
    <w:p>
      <w:pPr>
        <w:pStyle w:val="Normal"/>
        <w:numPr>
          <w:ilvl w:val="0"/>
          <w:numId w:val="1"/>
        </w:numPr>
        <w:rPr/>
      </w:pPr>
      <w:r>
        <w:rPr/>
        <w:t>Essais conformes</w:t>
      </w:r>
    </w:p>
    <w:p>
      <w:pPr>
        <w:pStyle w:val="Normal"/>
        <w:rPr>
          <w:b/>
          <w:bCs/>
        </w:rPr>
      </w:pPr>
      <w:r>
        <w:rPr>
          <w:b/>
          <w:bCs/>
        </w:rPr>
        <w:t>Laboratoire</w:t>
      </w:r>
    </w:p>
    <w:p>
      <w:pPr>
        <w:pStyle w:val="Normal"/>
        <w:numPr>
          <w:ilvl w:val="0"/>
          <w:numId w:val="2"/>
        </w:numPr>
        <w:rPr/>
      </w:pPr>
      <w:r>
        <w:rPr/>
        <w:t>FDS analysées</w:t>
      </w:r>
    </w:p>
    <w:p>
      <w:pPr>
        <w:pStyle w:val="Normal"/>
        <w:numPr>
          <w:ilvl w:val="0"/>
          <w:numId w:val="2"/>
        </w:numPr>
        <w:rPr/>
      </w:pPr>
      <w:r>
        <w:rPr/>
        <w:t>Risques analysés</w:t>
      </w:r>
    </w:p>
    <w:p>
      <w:pPr>
        <w:pStyle w:val="Normal"/>
        <w:numPr>
          <w:ilvl w:val="0"/>
          <w:numId w:val="2"/>
        </w:numPr>
        <w:rPr/>
      </w:pPr>
      <w:r>
        <w:rPr/>
        <w:t>Essais d'innocuité réalisés</w:t>
      </w:r>
    </w:p>
    <w:p>
      <w:pPr>
        <w:pStyle w:val="Normal"/>
        <w:numPr>
          <w:ilvl w:val="0"/>
          <w:numId w:val="2"/>
        </w:numPr>
        <w:rPr/>
      </w:pPr>
      <w:r>
        <w:rPr/>
        <w:t>Validation SSE obtenue</w:t>
      </w:r>
    </w:p>
    <w:p>
      <w:pPr>
        <w:pStyle w:val="Normal"/>
        <w:rPr>
          <w:b/>
          <w:bCs/>
        </w:rPr>
      </w:pPr>
      <w:r>
        <w:rPr>
          <w:b/>
          <w:bCs/>
        </w:rPr>
        <w:t>Projet</w:t>
      </w:r>
    </w:p>
    <w:p>
      <w:pPr>
        <w:pStyle w:val="Normal"/>
        <w:numPr>
          <w:ilvl w:val="0"/>
          <w:numId w:val="3"/>
        </w:numPr>
        <w:rPr/>
      </w:pPr>
      <w:r>
        <w:rPr/>
        <w:t>Actions réalisées</w:t>
      </w:r>
    </w:p>
    <w:p>
      <w:pPr>
        <w:pStyle w:val="Normal"/>
        <w:numPr>
          <w:ilvl w:val="0"/>
          <w:numId w:val="3"/>
        </w:numPr>
        <w:rPr/>
      </w:pPr>
      <w:r>
        <w:rPr/>
        <w:t>Actions en cours</w:t>
      </w:r>
    </w:p>
    <w:p>
      <w:pPr>
        <w:pStyle w:val="Normal"/>
        <w:numPr>
          <w:ilvl w:val="0"/>
          <w:numId w:val="3"/>
        </w:numPr>
        <w:rPr/>
      </w:pPr>
      <w:r>
        <w:rPr/>
        <w:t>Actions non démarrées</w:t>
      </w:r>
    </w:p>
    <w:p>
      <w:pPr>
        <w:pStyle w:val="Normal"/>
        <w:numPr>
          <w:ilvl w:val="0"/>
          <w:numId w:val="3"/>
        </w:numPr>
        <w:rPr/>
      </w:pPr>
      <w:r>
        <w:rPr/>
        <w:t>Avancement global</w:t>
      </w:r>
    </w:p>
    <w:p>
      <w:pPr>
        <w:pStyle w:val="Normal"/>
        <w:rPr>
          <w:b/>
          <w:bCs/>
        </w:rPr>
      </w:pPr>
      <w:r>
        <w:rPr>
          <w:b/>
          <w:bCs/>
        </w:rPr>
        <w:t>Performance</w:t>
      </w:r>
    </w:p>
    <w:p>
      <w:pPr>
        <w:pStyle w:val="Normal"/>
        <w:numPr>
          <w:ilvl w:val="0"/>
          <w:numId w:val="4"/>
        </w:numPr>
        <w:rPr/>
      </w:pPr>
      <w:r>
        <w:rPr/>
        <w:t>Avancement documentaire</w:t>
      </w:r>
    </w:p>
    <w:p>
      <w:pPr>
        <w:pStyle w:val="Normal"/>
        <w:numPr>
          <w:ilvl w:val="0"/>
          <w:numId w:val="4"/>
        </w:numPr>
        <w:rPr/>
      </w:pPr>
      <w:r>
        <w:rPr/>
        <w:t>Avancement essais</w:t>
      </w:r>
    </w:p>
    <w:p>
      <w:pPr>
        <w:pStyle w:val="Normal"/>
        <w:numPr>
          <w:ilvl w:val="0"/>
          <w:numId w:val="4"/>
        </w:numPr>
        <w:rPr/>
      </w:pPr>
      <w:r>
        <w:rPr/>
        <w:t>Avancement validation technique</w:t>
      </w:r>
    </w:p>
    <w:p>
      <w:pPr>
        <w:pStyle w:val="Normal"/>
        <w:numPr>
          <w:ilvl w:val="0"/>
          <w:numId w:val="4"/>
        </w:numPr>
        <w:rPr/>
      </w:pPr>
      <w:r>
        <w:rPr/>
        <w:t>Avancement global du projet</w:t>
      </w:r>
    </w:p>
    <w:p>
      <w:pPr>
        <w:pStyle w:val="Normal"/>
        <w:spacing w:lineRule="atLeast" w:line="300" w:before="0" w:after="0"/>
        <w:rPr>
          <w:rFonts w:ascii="Segoe UI" w:hAnsi="Segoe UI" w:eastAsia="Times New Roman" w:cs="Segoe UI"/>
          <w:b/>
          <w:bCs/>
          <w:kern w:val="0"/>
          <w:sz w:val="21"/>
          <w:szCs w:val="21"/>
          <w:lang w:eastAsia="fr-FR"/>
          <w14:ligatures w14:val="none"/>
        </w:rPr>
      </w:pPr>
      <w:r>
        <w:rPr>
          <w:rFonts w:eastAsia="Times New Roman" w:cs="Segoe UI" w:ascii="Segoe UI" w:hAnsi="Segoe UI"/>
          <w:b/>
          <w:bCs/>
          <w:kern w:val="0"/>
          <w:sz w:val="21"/>
          <w:szCs w:val="21"/>
          <w:lang w:eastAsia="fr-FR"/>
          <w14:ligatures w14:val="none"/>
        </w:rPr>
        <w:t>Score global du projet</w:t>
      </w:r>
    </w:p>
    <w:tbl>
      <w:tblPr>
        <w:tblW w:w="8790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noHBand="0" w:noVBand="1" w:firstColumn="1" w:lastRow="0" w:lastColumn="0" w:firstRow="1"/>
      </w:tblPr>
      <w:tblGrid>
        <w:gridCol w:w="4080"/>
        <w:gridCol w:w="4710"/>
      </w:tblGrid>
      <w:tr>
        <w:trPr>
          <w:tblHeader w:val="true"/>
        </w:trPr>
        <w:tc>
          <w:tcPr>
            <w:tcW w:w="4080" w:type="dxa"/>
            <w:tcBorders/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Axe</w:t>
            </w:r>
          </w:p>
        </w:tc>
        <w:tc>
          <w:tcPr>
            <w:tcW w:w="4710" w:type="dxa"/>
            <w:tcBorders/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Poids</w:t>
            </w:r>
          </w:p>
        </w:tc>
      </w:tr>
      <w:tr>
        <w:trPr/>
        <w:tc>
          <w:tcPr>
            <w:tcW w:w="4080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Pilotage</w:t>
            </w:r>
          </w:p>
        </w:tc>
        <w:tc>
          <w:tcPr>
            <w:tcW w:w="4710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10 %</w:t>
            </w:r>
          </w:p>
        </w:tc>
      </w:tr>
      <w:tr>
        <w:trPr/>
        <w:tc>
          <w:tcPr>
            <w:tcW w:w="4080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Analyse procédé</w:t>
            </w:r>
          </w:p>
        </w:tc>
        <w:tc>
          <w:tcPr>
            <w:tcW w:w="4710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10 %</w:t>
            </w:r>
          </w:p>
        </w:tc>
      </w:tr>
      <w:tr>
        <w:trPr/>
        <w:tc>
          <w:tcPr>
            <w:tcW w:w="4080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Recherche candidats</w:t>
            </w:r>
          </w:p>
        </w:tc>
        <w:tc>
          <w:tcPr>
            <w:tcW w:w="4710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15 %</w:t>
            </w:r>
          </w:p>
        </w:tc>
      </w:tr>
      <w:tr>
        <w:trPr/>
        <w:tc>
          <w:tcPr>
            <w:tcW w:w="4080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Étude documentaire</w:t>
            </w:r>
          </w:p>
        </w:tc>
        <w:tc>
          <w:tcPr>
            <w:tcW w:w="4710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15 %</w:t>
            </w:r>
          </w:p>
        </w:tc>
      </w:tr>
      <w:tr>
        <w:trPr/>
        <w:tc>
          <w:tcPr>
            <w:tcW w:w="4080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Données techniques</w:t>
            </w:r>
          </w:p>
        </w:tc>
        <w:tc>
          <w:tcPr>
            <w:tcW w:w="4710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10 %</w:t>
            </w:r>
          </w:p>
        </w:tc>
      </w:tr>
      <w:tr>
        <w:trPr/>
        <w:tc>
          <w:tcPr>
            <w:tcW w:w="4080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Stockage</w:t>
            </w:r>
          </w:p>
        </w:tc>
        <w:tc>
          <w:tcPr>
            <w:tcW w:w="4710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10 %</w:t>
            </w:r>
          </w:p>
        </w:tc>
      </w:tr>
      <w:tr>
        <w:trPr/>
        <w:tc>
          <w:tcPr>
            <w:tcW w:w="4080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Innocuité</w:t>
            </w:r>
          </w:p>
        </w:tc>
        <w:tc>
          <w:tcPr>
            <w:tcW w:w="4710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10 %</w:t>
            </w:r>
          </w:p>
        </w:tc>
      </w:tr>
      <w:tr>
        <w:trPr/>
        <w:tc>
          <w:tcPr>
            <w:tcW w:w="4080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Validation technique</w:t>
            </w:r>
          </w:p>
        </w:tc>
        <w:tc>
          <w:tcPr>
            <w:tcW w:w="4710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15 %</w:t>
            </w:r>
          </w:p>
        </w:tc>
      </w:tr>
      <w:tr>
        <w:trPr/>
        <w:tc>
          <w:tcPr>
            <w:tcW w:w="4080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Laboratoire</w:t>
            </w:r>
          </w:p>
        </w:tc>
        <w:tc>
          <w:tcPr>
            <w:tcW w:w="4710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5 %</w:t>
            </w:r>
          </w:p>
        </w:tc>
      </w:tr>
    </w:tbl>
    <w:p>
      <w:pPr>
        <w:pStyle w:val="Normal"/>
        <w:rPr>
          <w:b/>
        </w:rPr>
      </w:pPr>
      <w:r>
        <w:rPr/>
      </w:r>
    </w:p>
    <w:p>
      <w:pPr>
        <w:pStyle w:val="Normal"/>
        <w:rPr>
          <w:b/>
        </w:rPr>
      </w:pPr>
      <w:r>
        <w:rPr>
          <w:b/>
        </w:rPr>
        <w:t>Légende de statut (valeur utilisée pour le calcul de l'avancement pondéré)</w:t>
      </w:r>
    </w:p>
    <w:tbl>
      <w:tblPr>
        <w:tblW w:w="8850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noHBand="0" w:noVBand="1" w:firstColumn="1" w:lastRow="0" w:lastColumn="0" w:firstRow="1"/>
      </w:tblPr>
      <w:tblGrid>
        <w:gridCol w:w="4080"/>
        <w:gridCol w:w="4770"/>
      </w:tblGrid>
      <w:tr>
        <w:trPr/>
        <w:tc>
          <w:tcPr>
            <w:tcW w:w="4080" w:type="dxa"/>
            <w:tcBorders/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Statut</w:t>
            </w:r>
          </w:p>
        </w:tc>
        <w:tc>
          <w:tcPr>
            <w:tcW w:w="4770" w:type="dxa"/>
            <w:tcBorders/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Valeur</w:t>
            </w:r>
          </w:p>
        </w:tc>
      </w:tr>
      <w:tr>
        <w:trPr/>
        <w:tc>
          <w:tcPr>
            <w:tcW w:w="4080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Non démarré</w:t>
            </w:r>
          </w:p>
        </w:tc>
        <w:tc>
          <w:tcPr>
            <w:tcW w:w="4770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0 %</w:t>
            </w:r>
          </w:p>
        </w:tc>
      </w:tr>
      <w:tr>
        <w:trPr/>
        <w:tc>
          <w:tcPr>
            <w:tcW w:w="4080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En cours</w:t>
            </w:r>
          </w:p>
        </w:tc>
        <w:tc>
          <w:tcPr>
            <w:tcW w:w="4770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50 %</w:t>
            </w:r>
          </w:p>
        </w:tc>
      </w:tr>
      <w:tr>
        <w:trPr/>
        <w:tc>
          <w:tcPr>
            <w:tcW w:w="4080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Réalisé</w:t>
            </w:r>
          </w:p>
        </w:tc>
        <w:tc>
          <w:tcPr>
            <w:tcW w:w="4770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100 %</w:t>
            </w:r>
          </w:p>
        </w:tc>
      </w:tr>
    </w:tbl>
    <w:p>
      <w:pPr>
        <w:pStyle w:val="Normal"/>
        <w:widowControl/>
        <w:bidi w:val="0"/>
        <w:spacing w:lineRule="auto" w:line="276" w:before="0" w:after="160"/>
        <w:jc w:val="left"/>
        <w:rPr/>
      </w:pPr>
      <w:r>
        <w:rPr/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417" w:right="1417" w:gutter="0" w:header="708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egoe UI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s">
          <w:drawing>
            <wp:anchor behindDoc="1" distT="0" distB="10160" distL="0" distR="6350" simplePos="0" locked="0" layoutInCell="0" allowOverlap="1" relativeHeight="3" wp14:anchorId="42C683C2">
              <wp:simplePos x="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927100" cy="370205"/>
              <wp:effectExtent l="0" t="635" r="0" b="0"/>
              <wp:wrapNone/>
              <wp:docPr id="1" name="Zone de texte 2" descr="C2 - Confidential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27000" cy="3700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0" w:after="0"/>
                            <w:rPr>
                              <w:rFonts w:ascii="Aptos" w:hAnsi="Aptos" w:eastAsia="Aptos" w:cs="Aptos"/>
                              <w:color w:val="FF8C0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eastAsia="Aptos" w:cs="Aptos"/>
                              <w:color w:val="FF8C00"/>
                              <w:sz w:val="20"/>
                              <w:szCs w:val="20"/>
                            </w:rPr>
                            <w:t>C2 - Confidential</w:t>
                          </w:r>
                        </w:p>
                      </w:txbxContent>
                    </wps:txbx>
                    <wps:bodyPr lIns="0" rIns="0" tIns="190440" bIns="0" anchor="t">
                      <a:prstTxWarp prst="textNoShape"/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Zone de texte 2" path="m0,0l-2147483645,0l-2147483645,-2147483646l0,-2147483646xe" stroked="f" o:allowincell="f" style="position:absolute;margin-left:0pt;margin-top:0pt;width:72.95pt;height:29.1pt;mso-wrap-style:none;v-text-anchor:top;mso-position-horizontal:center;mso-position-horizontal-relative:page;mso-position-vertical:top;mso-position-vertical-relative:page" wp14:anchorId="42C683C2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0" w:after="0"/>
                      <w:rPr>
                        <w:rFonts w:ascii="Aptos" w:hAnsi="Aptos" w:eastAsia="Aptos" w:cs="Aptos"/>
                        <w:color w:val="FF8C00"/>
                        <w:sz w:val="20"/>
                        <w:szCs w:val="20"/>
                      </w:rPr>
                    </w:pPr>
                    <w:r>
                      <w:rPr>
                        <w:rFonts w:eastAsia="Aptos" w:cs="Aptos"/>
                        <w:color w:val="FF8C00"/>
                        <w:sz w:val="20"/>
                        <w:szCs w:val="20"/>
                      </w:rPr>
                      <w:t>C2 - Confidential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s">
          <w:drawing>
            <wp:anchor behindDoc="1" distT="0" distB="10795" distL="0" distR="6350" simplePos="0" locked="0" layoutInCell="0" allowOverlap="1" relativeHeight="14" wp14:anchorId="76F60327">
              <wp:simplePos x="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927100" cy="561340"/>
              <wp:effectExtent l="0" t="0" r="0" b="0"/>
              <wp:wrapNone/>
              <wp:docPr id="2" name="Zone de texte 3" descr="C2 - Confidential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27000" cy="5612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0" w:after="0"/>
                            <w:rPr>
                              <w:rFonts w:ascii="Aptos" w:hAnsi="Aptos" w:eastAsia="Aptos" w:cs="Aptos"/>
                              <w:color w:val="FF8C0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eastAsia="Aptos" w:cs="Aptos"/>
                              <w:color w:val="FF8C00"/>
                              <w:sz w:val="20"/>
                              <w:szCs w:val="20"/>
                            </w:rPr>
                            <w:t>C2 - Confidential</w:t>
                          </w:r>
                        </w:p>
                      </w:txbxContent>
                    </wps:txbx>
                    <wps:bodyPr lIns="0" rIns="0" tIns="190440" bIns="0" anchor="t">
                      <a:prstTxWarp prst="textNoShape"/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Zone de texte 3" path="m0,0l-2147483645,0l-2147483645,-2147483646l0,-2147483646xe" stroked="f" o:allowincell="f" style="position:absolute;margin-left:261.15pt;margin-top:0pt;width:72.95pt;height:44.15pt;mso-wrap-style:none;v-text-anchor:top;mso-position-horizontal:center;mso-position-horizontal-relative:page;mso-position-vertical:top;mso-position-vertical-relative:page" wp14:anchorId="76F60327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0" w:after="0"/>
                      <w:rPr>
                        <w:rFonts w:ascii="Aptos" w:hAnsi="Aptos" w:eastAsia="Aptos" w:cs="Aptos"/>
                        <w:color w:val="FF8C00"/>
                        <w:sz w:val="20"/>
                        <w:szCs w:val="20"/>
                      </w:rPr>
                    </w:pPr>
                    <w:r>
                      <w:rPr>
                        <w:rFonts w:eastAsia="Aptos" w:cs="Aptos"/>
                        <w:color w:val="FF8C00"/>
                        <w:sz w:val="20"/>
                        <w:szCs w:val="20"/>
                      </w:rPr>
                      <w:t>C2 - Confidential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s">
          <w:drawing>
            <wp:anchor behindDoc="1" distT="0" distB="10795" distL="0" distR="6350" simplePos="0" locked="0" layoutInCell="0" allowOverlap="1" relativeHeight="14" wp14:anchorId="76F60327">
              <wp:simplePos x="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927100" cy="561340"/>
              <wp:effectExtent l="0" t="0" r="0" b="0"/>
              <wp:wrapNone/>
              <wp:docPr id="3" name="Zone de texte 3" descr="C2 - Confidential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27000" cy="5612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0" w:after="0"/>
                            <w:rPr>
                              <w:rFonts w:ascii="Aptos" w:hAnsi="Aptos" w:eastAsia="Aptos" w:cs="Aptos"/>
                              <w:color w:val="FF8C0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eastAsia="Aptos" w:cs="Aptos"/>
                              <w:color w:val="FF8C00"/>
                              <w:sz w:val="20"/>
                              <w:szCs w:val="20"/>
                            </w:rPr>
                            <w:t>C2 - Confidential</w:t>
                          </w:r>
                        </w:p>
                      </w:txbxContent>
                    </wps:txbx>
                    <wps:bodyPr lIns="0" rIns="0" tIns="190440" bIns="0" anchor="t">
                      <a:prstTxWarp prst="textNoShape"/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Zone de texte 3" path="m0,0l-2147483645,0l-2147483645,-2147483646l0,-2147483646xe" stroked="f" o:allowincell="f" style="position:absolute;margin-left:261.15pt;margin-top:0pt;width:72.95pt;height:44.15pt;mso-wrap-style:none;v-text-anchor:top;mso-position-horizontal:center;mso-position-horizontal-relative:page;mso-position-vertical:top;mso-position-vertical-relative:page" wp14:anchorId="76F60327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0" w:after="0"/>
                      <w:rPr>
                        <w:rFonts w:ascii="Aptos" w:hAnsi="Aptos" w:eastAsia="Aptos" w:cs="Aptos"/>
                        <w:color w:val="FF8C00"/>
                        <w:sz w:val="20"/>
                        <w:szCs w:val="20"/>
                      </w:rPr>
                    </w:pPr>
                    <w:r>
                      <w:rPr>
                        <w:rFonts w:eastAsia="Aptos" w:cs="Aptos"/>
                        <w:color w:val="FF8C00"/>
                        <w:sz w:val="20"/>
                        <w:szCs w:val="20"/>
                      </w:rPr>
                      <w:t>C2 - Confidential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fr-FR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itre1Car"/>
    <w:uiPriority w:val="9"/>
    <w:qFormat/>
    <w:rsid w:val="00014188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Titre2Car"/>
    <w:uiPriority w:val="9"/>
    <w:unhideWhenUsed/>
    <w:qFormat/>
    <w:rsid w:val="00014188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Titre3Car"/>
    <w:uiPriority w:val="9"/>
    <w:semiHidden/>
    <w:unhideWhenUsed/>
    <w:qFormat/>
    <w:rsid w:val="00014188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Titre4Car"/>
    <w:uiPriority w:val="9"/>
    <w:semiHidden/>
    <w:unhideWhenUsed/>
    <w:qFormat/>
    <w:rsid w:val="00014188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Titre5Car"/>
    <w:uiPriority w:val="9"/>
    <w:semiHidden/>
    <w:unhideWhenUsed/>
    <w:qFormat/>
    <w:rsid w:val="00014188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Titre6Car"/>
    <w:uiPriority w:val="9"/>
    <w:semiHidden/>
    <w:unhideWhenUsed/>
    <w:qFormat/>
    <w:rsid w:val="00014188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itre7Car"/>
    <w:uiPriority w:val="9"/>
    <w:semiHidden/>
    <w:unhideWhenUsed/>
    <w:qFormat/>
    <w:rsid w:val="00014188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itre8Car"/>
    <w:uiPriority w:val="9"/>
    <w:semiHidden/>
    <w:unhideWhenUsed/>
    <w:qFormat/>
    <w:rsid w:val="00014188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itre9Car"/>
    <w:uiPriority w:val="9"/>
    <w:semiHidden/>
    <w:unhideWhenUsed/>
    <w:qFormat/>
    <w:rsid w:val="00014188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Titre1Car" w:customStyle="1">
    <w:name w:val="Titre 1 Car"/>
    <w:basedOn w:val="DefaultParagraphFont"/>
    <w:link w:val="Heading1"/>
    <w:uiPriority w:val="9"/>
    <w:qFormat/>
    <w:rsid w:val="00014188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Titre2Car" w:customStyle="1">
    <w:name w:val="Titre 2 Car"/>
    <w:basedOn w:val="DefaultParagraphFont"/>
    <w:link w:val="Heading2"/>
    <w:uiPriority w:val="9"/>
    <w:qFormat/>
    <w:rsid w:val="00014188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Titre3Car" w:customStyle="1">
    <w:name w:val="Titre 3 Car"/>
    <w:basedOn w:val="DefaultParagraphFont"/>
    <w:link w:val="Heading3"/>
    <w:uiPriority w:val="9"/>
    <w:semiHidden/>
    <w:qFormat/>
    <w:rsid w:val="00014188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Titre4Car" w:customStyle="1">
    <w:name w:val="Titre 4 Car"/>
    <w:basedOn w:val="DefaultParagraphFont"/>
    <w:link w:val="Heading4"/>
    <w:uiPriority w:val="9"/>
    <w:semiHidden/>
    <w:qFormat/>
    <w:rsid w:val="00014188"/>
    <w:rPr>
      <w:rFonts w:eastAsia="" w:cs="" w:cstheme="majorBidi" w:eastAsiaTheme="majorEastAsia"/>
      <w:i/>
      <w:iCs/>
      <w:color w:themeColor="accent1" w:themeShade="bf" w:val="0F4761"/>
    </w:rPr>
  </w:style>
  <w:style w:type="character" w:styleId="Titre5Car" w:customStyle="1">
    <w:name w:val="Titre 5 Car"/>
    <w:basedOn w:val="DefaultParagraphFont"/>
    <w:link w:val="Heading5"/>
    <w:uiPriority w:val="9"/>
    <w:semiHidden/>
    <w:qFormat/>
    <w:rsid w:val="00014188"/>
    <w:rPr>
      <w:rFonts w:eastAsia="" w:cs="" w:cstheme="majorBidi" w:eastAsiaTheme="majorEastAsia"/>
      <w:color w:themeColor="accent1" w:themeShade="bf" w:val="0F4761"/>
    </w:rPr>
  </w:style>
  <w:style w:type="character" w:styleId="Titre6Car" w:customStyle="1">
    <w:name w:val="Titre 6 Car"/>
    <w:basedOn w:val="DefaultParagraphFont"/>
    <w:link w:val="Heading6"/>
    <w:uiPriority w:val="9"/>
    <w:semiHidden/>
    <w:qFormat/>
    <w:rsid w:val="00014188"/>
    <w:rPr>
      <w:rFonts w:eastAsia="" w:cs="" w:cstheme="majorBidi" w:eastAsiaTheme="majorEastAsia"/>
      <w:i/>
      <w:iCs/>
      <w:color w:themeColor="text1" w:themeTint="a6" w:val="595959"/>
    </w:rPr>
  </w:style>
  <w:style w:type="character" w:styleId="Titre7Car" w:customStyle="1">
    <w:name w:val="Titre 7 Car"/>
    <w:basedOn w:val="DefaultParagraphFont"/>
    <w:link w:val="Heading7"/>
    <w:uiPriority w:val="9"/>
    <w:semiHidden/>
    <w:qFormat/>
    <w:rsid w:val="00014188"/>
    <w:rPr>
      <w:rFonts w:eastAsia="" w:cs="" w:cstheme="majorBidi" w:eastAsiaTheme="majorEastAsia"/>
      <w:color w:themeColor="text1" w:themeTint="a6" w:val="595959"/>
    </w:rPr>
  </w:style>
  <w:style w:type="character" w:styleId="Titre8Car" w:customStyle="1">
    <w:name w:val="Titre 8 Car"/>
    <w:basedOn w:val="DefaultParagraphFont"/>
    <w:link w:val="Heading8"/>
    <w:uiPriority w:val="9"/>
    <w:semiHidden/>
    <w:qFormat/>
    <w:rsid w:val="00014188"/>
    <w:rPr>
      <w:rFonts w:eastAsia="" w:cs="" w:cstheme="majorBidi" w:eastAsiaTheme="majorEastAsia"/>
      <w:i/>
      <w:iCs/>
      <w:color w:themeColor="text1" w:themeTint="d8" w:val="272727"/>
    </w:rPr>
  </w:style>
  <w:style w:type="character" w:styleId="Titre9Car" w:customStyle="1">
    <w:name w:val="Titre 9 Car"/>
    <w:basedOn w:val="DefaultParagraphFont"/>
    <w:link w:val="Heading9"/>
    <w:uiPriority w:val="9"/>
    <w:semiHidden/>
    <w:qFormat/>
    <w:rsid w:val="00014188"/>
    <w:rPr>
      <w:rFonts w:eastAsia="" w:cs="" w:cstheme="majorBidi" w:eastAsiaTheme="majorEastAsia"/>
      <w:color w:themeColor="text1" w:themeTint="d8" w:val="272727"/>
    </w:rPr>
  </w:style>
  <w:style w:type="character" w:styleId="TitreCar" w:customStyle="1">
    <w:name w:val="Titre Car"/>
    <w:basedOn w:val="DefaultParagraphFont"/>
    <w:link w:val="Title"/>
    <w:uiPriority w:val="10"/>
    <w:qFormat/>
    <w:rsid w:val="00014188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ous-titreCar" w:customStyle="1">
    <w:name w:val="Sous-titre Car"/>
    <w:basedOn w:val="DefaultParagraphFont"/>
    <w:link w:val="Subtitle"/>
    <w:uiPriority w:val="11"/>
    <w:qFormat/>
    <w:rsid w:val="00014188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tionCar" w:customStyle="1">
    <w:name w:val="Citation Car"/>
    <w:basedOn w:val="DefaultParagraphFont"/>
    <w:link w:val="Quote"/>
    <w:uiPriority w:val="29"/>
    <w:qFormat/>
    <w:rsid w:val="00014188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014188"/>
    <w:rPr>
      <w:i/>
      <w:iCs/>
      <w:color w:themeColor="accent1" w:themeShade="bf" w:val="0F4761"/>
    </w:rPr>
  </w:style>
  <w:style w:type="character" w:styleId="CitationintenseCar" w:customStyle="1">
    <w:name w:val="Citation intense Car"/>
    <w:basedOn w:val="DefaultParagraphFont"/>
    <w:link w:val="IntenseQuote"/>
    <w:uiPriority w:val="30"/>
    <w:qFormat/>
    <w:rsid w:val="00014188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014188"/>
    <w:rPr>
      <w:b/>
      <w:bCs/>
      <w:smallCaps/>
      <w:color w:themeColor="accent1" w:themeShade="bf" w:val="0F4761"/>
      <w:spacing w:val="5"/>
    </w:rPr>
  </w:style>
  <w:style w:type="character" w:styleId="En-tteCar" w:customStyle="1">
    <w:name w:val="En-tête Car"/>
    <w:basedOn w:val="DefaultParagraphFont"/>
    <w:link w:val="Header"/>
    <w:uiPriority w:val="99"/>
    <w:qFormat/>
    <w:rsid w:val="00011417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reCar"/>
    <w:uiPriority w:val="10"/>
    <w:qFormat/>
    <w:rsid w:val="00014188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ous-titreCar"/>
    <w:uiPriority w:val="11"/>
    <w:qFormat/>
    <w:rsid w:val="00014188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tionCar"/>
    <w:uiPriority w:val="29"/>
    <w:qFormat/>
    <w:rsid w:val="00014188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014188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CitationintenseCar"/>
    <w:uiPriority w:val="30"/>
    <w:qFormat/>
    <w:rsid w:val="000141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En-tteCar"/>
    <w:uiPriority w:val="99"/>
    <w:unhideWhenUsed/>
    <w:rsid w:val="00011417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<Relationship Id="rId10" Type="http://schemas.openxmlformats.org/officeDocument/2006/relationships/customXml" Target="../customXml/item2.xml"/><Relationship Id="rId11" Type="http://schemas.openxmlformats.org/officeDocument/2006/relationships/customXml" Target="../customXml/item3.xml"/>
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e142c09-e703-4e31-9724-e164518f651d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AAF69885E7C5145A174AF6BDB50D384" ma:contentTypeVersion="9" ma:contentTypeDescription="Create a new document." ma:contentTypeScope="" ma:versionID="bc046fa5032490717eddbefe48fd08f4">
  <xsd:schema xmlns:xsd="http://www.w3.org/2001/XMLSchema" xmlns:xs="http://www.w3.org/2001/XMLSchema" xmlns:p="http://schemas.microsoft.com/office/2006/metadata/properties" xmlns:ns3="7e142c09-e703-4e31-9724-e164518f651d" targetNamespace="http://schemas.microsoft.com/office/2006/metadata/properties" ma:root="true" ma:fieldsID="ead9b2445550779cf2408afd660296e8" ns3:_="">
    <xsd:import namespace="7e142c09-e703-4e31-9724-e164518f651d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142c09-e703-4e31-9724-e164518f651d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665AC65-6C27-4DA7-9ED7-14CAFDBA48DF}">
  <ds:schemaRefs>
    <ds:schemaRef ds:uri="http://schemas.microsoft.com/office/2006/metadata/properties"/>
    <ds:schemaRef ds:uri="http://schemas.microsoft.com/office/infopath/2007/PartnerControls"/>
    <ds:schemaRef ds:uri="7e142c09-e703-4e31-9724-e164518f651d"/>
  </ds:schemaRefs>
</ds:datastoreItem>
</file>

<file path=customXml/itemProps2.xml><?xml version="1.0" encoding="utf-8"?>
<ds:datastoreItem xmlns:ds="http://schemas.openxmlformats.org/officeDocument/2006/customXml" ds:itemID="{CDFE4844-7223-4055-881E-D4FEE5A2DF4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FAB842D-7B8D-485D-9ED3-D75A6A47968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e142c09-e703-4e31-9724-e164518f65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Application>LibreOffice/24.2.7.2$Linux_X86_64 LibreOffice_project/420$Build-2</Application>
  <AppVersion>15.0000</AppVersion>
  <Pages>6</Pages>
  <Words>578</Words>
  <Characters>2993</Characters>
  <CharactersWithSpaces>3330</CharactersWithSpaces>
  <Paragraphs>226</Paragraphs>
  <Company>SAFRAN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2026-09-14T13:34:00Z</dcterms:created>
  <dc:creator>NJIKE Mariette Angele De Matho (SAFRAN AIRCRAFT ENGINES)</dc:creator>
  <dc:description/>
  <dc:language>fr-FR</dc:language>
  <cp:lastModifiedBy/>
  <dcterms:modified xsi:type="dcterms:W3CDTF">2026-09-15T05:55:24Z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FontProps">
    <vt:lpwstr>#ff8c00,10,Aptos</vt:lpwstr>
  </property>
  <property fmtid="{D5CDD505-2E9C-101B-9397-08002B2CF9AE}" pid="3" name="ClassificationContentMarkingHeaderShapeIds">
    <vt:lpwstr>4dcf2703,1c07c16f,f55f847</vt:lpwstr>
  </property>
  <property fmtid="{D5CDD505-2E9C-101B-9397-08002B2CF9AE}" pid="4" name="ClassificationContentMarkingHeaderText">
    <vt:lpwstr>C2 - Confidential</vt:lpwstr>
  </property>
  <property fmtid="{D5CDD505-2E9C-101B-9397-08002B2CF9AE}" pid="5" name="ContentTypeId">
    <vt:lpwstr>0x0101000AAF69885E7C5145A174AF6BDB50D384</vt:lpwstr>
  </property>
  <property fmtid="{D5CDD505-2E9C-101B-9397-08002B2CF9AE}" pid="6" name="_AdHocReviewCycleID">
    <vt:i4>1592020274</vt:i4>
  </property>
  <property fmtid="{D5CDD505-2E9C-101B-9397-08002B2CF9AE}" pid="7" name="_AuthorEmail">
    <vt:lpwstr>mariette-angele-de-matho.njike@safrangroup.com</vt:lpwstr>
  </property>
  <property fmtid="{D5CDD505-2E9C-101B-9397-08002B2CF9AE}" pid="8" name="_AuthorEmailDisplayName">
    <vt:lpwstr>NJIKE Mariette Angele De Matho (SAFRAN AIRCRAFT ENGINES)</vt:lpwstr>
  </property>
  <property fmtid="{D5CDD505-2E9C-101B-9397-08002B2CF9AE}" pid="9" name="_EmailSubject">
    <vt:lpwstr/>
  </property>
  <property fmtid="{D5CDD505-2E9C-101B-9397-08002B2CF9AE}" pid="10" name="_NewReviewCycle">
    <vt:lpwstr/>
  </property>
</Properties>
</file>