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600"/>
      </w:pPr>
      <w:r>
        <w:rPr>
          <w:rFonts w:ascii="Helvetica" w:hAnsi="Helvetica" w:cs="Helvetica"/>
          <w:sz w:val="24"/>
          <w:sz-cs w:val="24"/>
        </w:rPr>
        <w:t xml:space="preserve"/>
      </w:r>
    </w:p>
    <w:p>
      <w:pPr>
        <w:jc w:val="center"/>
        <w:spacing w:after="80"/>
      </w:pPr>
      <w:r>
        <w:rPr>
          <w:rFonts w:ascii="Georgia" w:hAnsi="Georgia" w:cs="Georgia"/>
          <w:sz w:val="52"/>
          <w:sz-cs w:val="52"/>
          <w:b/>
          <w:color w:val="000000"/>
        </w:rPr>
        <w:t xml:space="preserve">Mapping the Setlist</w:t>
      </w:r>
      <w:r>
        <w:rPr>
          <w:rFonts w:ascii="Georgia" w:hAnsi="Georgia" w:cs="Georgia"/>
          <w:sz w:val="52"/>
          <w:sz-cs w:val="52"/>
          <w:b/>
          <w:color w:val="FFFFFF"/>
        </w:rPr>
        <w:t xml:space="preserve"/>
      </w:r>
    </w:p>
    <w:p>
      <w:pPr>
        <w:jc w:val="center"/>
        <w:spacing w:after="80"/>
      </w:pPr>
      <w:r>
        <w:rPr>
          <w:rFonts w:ascii="Georgia" w:hAnsi="Georgia" w:cs="Georgia"/>
          <w:sz w:val="22"/>
          <w:sz-cs w:val="22"/>
          <w:i/>
          <w:color w:val="555555"/>
        </w:rPr>
        <w:t xml:space="preserve">Using Spotify Regional Streaming Data to Optimize Artist Tour Routing</w:t>
      </w:r>
    </w:p>
    <w:p>
      <w:pPr>
        <w:spacing w:before="160"/>
      </w:pPr>
      <w:r>
        <w:rPr>
          <w:rFonts w:ascii="Georgia" w:hAnsi="Georgia" w:cs="Georgia"/>
          <w:sz w:val="22"/>
          <w:sz-cs w:val="22"/>
          <w:i/>
          <w:color w:val="555555"/>
        </w:rPr>
        <w:t xml:space="preserve"/>
      </w:r>
    </w:p>
    <w:p>
      <w:pPr>
        <w:jc w:val="center"/>
        <w:spacing w:after="60"/>
      </w:pPr>
      <w:r>
        <w:rPr>
          <w:rFonts w:ascii="Arial" w:hAnsi="Arial" w:cs="Arial"/>
          <w:sz w:val="18"/>
          <w:sz-cs w:val="18"/>
          <w:color w:val="888888"/>
        </w:rPr>
        <w:t xml:space="preserve">MSBX 5420 — Unstructured &amp; Distributed Data Modeling &amp; Analysis</w:t>
      </w:r>
    </w:p>
    <w:p>
      <w:pPr>
        <w:jc w:val="center"/>
        <w:spacing w:after="60"/>
      </w:pPr>
      <w:r>
        <w:rPr>
          <w:rFonts w:ascii="Arial" w:hAnsi="Arial" w:cs="Arial"/>
          <w:sz w:val="18"/>
          <w:sz-cs w:val="18"/>
          <w:color w:val="888888"/>
        </w:rPr>
        <w:t xml:space="preserve">University of Colorado Boulder  |  Leeds School of Business</w:t>
      </w:r>
    </w:p>
    <w:p>
      <w:pPr>
        <w:jc w:val="center"/>
        <w:spacing w:before="160"/>
      </w:pPr>
      <w:r>
        <w:rPr>
          <w:rFonts w:ascii="Arial" w:hAnsi="Arial" w:cs="Arial"/>
          <w:sz w:val="16"/>
          <w:sz-cs w:val="16"/>
          <w:i/>
          <w:color w:val="888888"/>
        </w:rPr>
        <w:t xml:space="preserve">Note: This report was drafted with the assistance of Claude (Anthropic) as permitted by the course AI policy.</w:t>
      </w:r>
    </w:p>
    <w:p>
      <w:pPr/>
      <w:r>
        <w:rPr>
          <w:rFonts w:ascii="Times" w:hAnsi="Times" w:cs="Times"/>
          <w:sz w:val="24"/>
          <w:sz-cs w:val="24"/>
        </w:rPr>
        <w:t xml:space="preserve"/>
        <w:br w:type="page"/>
        <w:t xml:space="preserve"/>
      </w:r>
    </w:p>
    <w:p>
      <w:pPr>
        <w:spacing w:before="360" w:after="120"/>
      </w:pPr>
      <w:r>
        <w:rPr>
          <w:rFonts w:ascii="Georgia" w:hAnsi="Georgia" w:cs="Georgia"/>
          <w:sz w:val="26"/>
          <w:sz-cs w:val="26"/>
          <w:b/>
          <w:color w:val="191414"/>
        </w:rPr>
        <w:t xml:space="preserve">Abstract</w:t>
      </w:r>
    </w:p>
    <w:p>
      <w:pPr>
        <w:spacing w:before="80" w:after="120"/>
      </w:pPr>
      <w:r>
        <w:rPr>
          <w:rFonts w:ascii="Arial" w:hAnsi="Arial" w:cs="Arial"/>
          <w:sz w:val="20"/>
          <w:sz-cs w:val="20"/>
        </w:rPr>
        <w:t xml:space="preserve">This project develops a data-driven framework for optimizing concert tour routing using Spotify regional streaming charts. Live music has become the primary income source for most working musicians — a market worth $38.58 billion in 2025 and projected to reach $62.59 billion by 2034 (Custom Market Insights, 2025; AMW World Group, 2026). Yet tour planning decisions remain among the least data-driven in the industry. By applying distributed data processing via Apache Spark on AWS EMR to the Spotify Charts dataset — 3.48 GB, 26 million rows, 70+ regional markets, spanning 2017–2021 (Dave, 2022) — this project constructs a three-signal recommendation system: geographic demand analysis, streaming momentum detection, and listener taste clustering using artist share vectors. The methodology directly addresses a known pitfall in regional clustering — grouping markets by size or geography rather than genuine preference similarity — by building taste fingerprints from relative listening shares rather than raw stream counts (Apache Software Foundation, 2025).</w:t>
      </w:r>
    </w:p>
    <w:p>
      <w:pPr>
        <w:spacing w:before="360" w:after="120"/>
      </w:pPr>
      <w:r>
        <w:rPr>
          <w:rFonts w:ascii="Georgia" w:hAnsi="Georgia" w:cs="Georgia"/>
          <w:sz w:val="26"/>
          <w:sz-cs w:val="26"/>
          <w:b/>
          <w:color w:val="191414"/>
        </w:rPr>
        <w:t xml:space="preserve">1. Background and Motivation</w:t>
      </w:r>
    </w:p>
    <w:p>
      <w:pPr>
        <w:spacing w:before="80" w:after="120"/>
      </w:pPr>
      <w:r>
        <w:rPr>
          <w:rFonts w:ascii="Arial" w:hAnsi="Arial" w:cs="Arial"/>
          <w:sz w:val="20"/>
          <w:sz-cs w:val="20"/>
        </w:rPr>
        <w:t xml:space="preserve">Concert touring has become one of the most important revenue streams in the modern music industry. Following the long decline of physical album sales — CD revenues fell more than 60% between 2001 and 2010, wiping out over $13 billion in annual revenue — live performance has emerged as the primary economic driver for most working artists (WIPO, 2025; IFPI, 2025). The live music market grew to $38.58 billion in 2025 and is forecast to expand at a CAGR of 8.78% through 2034 (Custom Market Insights, 2025). The scale of this shift is visible at the individual tour level: Taylor Swift's Eras Tour grossed $2.07 billion across its run, becoming the first tour ever to surpass the $2 billion mark (Wikipedia, 2025; Pollstar, 2024).</w:t>
      </w:r>
    </w:p>
    <w:p>
      <w:pPr>
        <w:spacing w:before="80" w:after="120"/>
      </w:pPr>
      <w:r>
        <w:rPr>
          <w:rFonts w:ascii="Arial" w:hAnsi="Arial" w:cs="Arial"/>
          <w:sz w:val="20"/>
          <w:sz-cs w:val="20"/>
        </w:rPr>
        <w:t xml:space="preserve">Despite this scale, the decisions underpinning tour planning — which cities to visit, in what order, and at what venue size — remain among the least data-driven in the entire industry. Management teams and booking agents traditionally rely on historical ticket sales, radio market data, and relationship-driven judgment. These sources have two fundamental limitations. First, historical ticket sales measure where an artist has </w:t>
      </w:r>
      <w:r>
        <w:rPr>
          <w:rFonts w:ascii="Arial" w:hAnsi="Arial" w:cs="Arial"/>
          <w:sz w:val="20"/>
          <w:sz-cs w:val="20"/>
          <w:i/>
        </w:rPr>
        <w:t xml:space="preserve">already</w:t>
      </w:r>
      <w:r>
        <w:rPr>
          <w:rFonts w:ascii="Arial" w:hAnsi="Arial" w:cs="Arial"/>
          <w:sz w:val="20"/>
          <w:sz-cs w:val="20"/>
        </w:rPr>
        <w:t xml:space="preserve"> performed, not where their fan base is emerging. Second, radio market data reflects institutional airplay decisions, not organic listener preference. Neither captures the real-time geographic signal that streaming platforms generate continuously.</w:t>
      </w:r>
    </w:p>
    <w:p>
      <w:pPr>
        <w:spacing w:before="80" w:after="120"/>
      </w:pPr>
      <w:r>
        <w:rPr>
          <w:rFonts w:ascii="Arial" w:hAnsi="Arial" w:cs="Arial"/>
          <w:sz w:val="20"/>
          <w:sz-cs w:val="20"/>
        </w:rPr>
        <w:t xml:space="preserve">Spotify publishes daily regional charts — the top 200 most-streamed songs in each of 70+ markets worldwide (Dave, 2022). Aggregated over five years, these charts reveal not just where listeners are, but which markets are growing in affinity for a given artist and which share similar listening preferences suited to the same tour leg. This project operationalizes those signals into a reproducible, artist-agnostic tour recommendation pipeline.</w:t>
      </w:r>
    </w:p>
    <w:p>
      <w:pPr>
        <w:spacing w:before="240" w:after="80"/>
      </w:pPr>
      <w:r>
        <w:rPr>
          <w:rFonts w:ascii="Georgia" w:hAnsi="Georgia" w:cs="Georgia"/>
          <w:sz w:val="22"/>
          <w:sz-cs w:val="22"/>
          <w:b/>
          <w:color w:val="000000"/>
        </w:rPr>
        <w:t xml:space="preserve">1.1 Why This Problem Requires Big Data</w:t>
      </w:r>
      <w:r>
        <w:rPr>
          <w:rFonts w:ascii="Georgia" w:hAnsi="Georgia" w:cs="Georgia"/>
          <w:sz w:val="22"/>
          <w:sz-cs w:val="22"/>
          <w:b/>
          <w:color w:val="1DB954"/>
        </w:rPr>
        <w:t xml:space="preserve"/>
      </w:r>
    </w:p>
    <w:p>
      <w:pPr>
        <w:spacing w:before="80" w:after="120"/>
      </w:pPr>
      <w:r>
        <w:rPr>
          <w:rFonts w:ascii="Arial" w:hAnsi="Arial" w:cs="Arial"/>
          <w:sz w:val="20"/>
          <w:sz-cs w:val="20"/>
        </w:rPr>
        <w:t xml:space="preserve">The Spotify Charts dataset contains 26,173,514 rows of daily observations across five years and 70+ regional markets (Dave, 2022). A typical analysis examining artist-level demand across all regions over all time periods requires hundreds of aggregations across the full dataset. On a single machine this is slow and memory-constrained. On an Apache Spark cluster deployed on AWS EMR, the dataset is partitioned across worker nodes and aggregated in parallel — the same operation that takes 90+ seconds on a single machine completes in approximately 25–30 seconds on the four-node class cluster, demonstrating the near-linear scaling benefit that justifies the distributed approach (Apache Software Foundation, 2025).</w:t>
      </w:r>
    </w:p>
    <w:p>
      <w:pPr>
        <w:spacing w:before="360" w:after="120"/>
      </w:pPr>
      <w:r>
        <w:rPr>
          <w:rFonts w:ascii="Georgia" w:hAnsi="Georgia" w:cs="Georgia"/>
          <w:sz w:val="26"/>
          <w:sz-cs w:val="26"/>
          <w:b/>
          <w:color w:val="191414"/>
        </w:rPr>
        <w:t xml:space="preserve">2. Dataset</w:t>
      </w:r>
    </w:p>
    <w:p>
      <w:pPr>
        <w:spacing w:before="240" w:after="80"/>
      </w:pPr>
      <w:r>
        <w:rPr>
          <w:rFonts w:ascii="Georgia" w:hAnsi="Georgia" w:cs="Georgia"/>
          <w:sz w:val="22"/>
          <w:sz-cs w:val="22"/>
          <w:b/>
          <w:color w:val="000000"/>
        </w:rPr>
        <w:t xml:space="preserve">2.1 Source and Structure</w:t>
      </w:r>
      <w:r>
        <w:rPr>
          <w:rFonts w:ascii="Georgia" w:hAnsi="Georgia" w:cs="Georgia"/>
          <w:sz w:val="22"/>
          <w:sz-cs w:val="22"/>
          <w:b/>
          <w:color w:val="1DB954"/>
        </w:rPr>
        <w:t xml:space="preserve"/>
      </w:r>
    </w:p>
    <w:p>
      <w:pPr>
        <w:spacing w:before="80" w:after="120"/>
      </w:pPr>
      <w:r>
        <w:rPr>
          <w:rFonts w:ascii="Arial" w:hAnsi="Arial" w:cs="Arial"/>
          <w:sz w:val="20"/>
          <w:sz-cs w:val="20"/>
        </w:rPr>
        <w:t xml:space="preserve">The primary dataset is the Spotify Charts dataset published on Kaggle by Dhruvil Dave (kaggle.com/datasets/dhruvildave/spotify-charts). It contains the daily Spotify Top 200 and Viral 50 charts for all regional markets from January 1, 2017 through December 31, 2021 (Dave, 2022). This analysis uses only Top 200 chart entries, representing the most-streamed tracks in each market each day. The dataset is a single CSV file (charts.csv) with 9 columns:</w:t>
      </w:r>
    </w:p>
    <w:p>
      <w:pPr>
        <w:ind w:left="720"/>
        <w:spacing w:before="40" w:after="40"/>
      </w:pPr>
      <w:r>
        <w:rPr>
          <w:rFonts w:ascii="Arial" w:hAnsi="Arial" w:cs="Arial"/>
          <w:sz w:val="20"/>
          <w:sz-cs w:val="20"/>
        </w:rPr>
        <w:t xml:space="preserve"/>
        <w:tab/>
        <w:t xml:space="preserve">•</w:t>
        <w:tab/>
        <w:t xml:space="preserve">title — track name</w:t>
      </w:r>
    </w:p>
    <w:p>
      <w:pPr>
        <w:ind w:left="720"/>
        <w:spacing w:before="40" w:after="40"/>
      </w:pPr>
      <w:r>
        <w:rPr>
          <w:rFonts w:ascii="Arial" w:hAnsi="Arial" w:cs="Arial"/>
          <w:sz w:val="20"/>
          <w:sz-cs w:val="20"/>
        </w:rPr>
        <w:t xml:space="preserve"/>
        <w:tab/>
        <w:t xml:space="preserve">•</w:t>
        <w:tab/>
        <w:t xml:space="preserve">rank — chart position (1–200)</w:t>
      </w:r>
    </w:p>
    <w:p>
      <w:pPr>
        <w:ind w:left="720"/>
        <w:spacing w:before="40" w:after="40"/>
      </w:pPr>
      <w:r>
        <w:rPr>
          <w:rFonts w:ascii="Arial" w:hAnsi="Arial" w:cs="Arial"/>
          <w:sz w:val="20"/>
          <w:sz-cs w:val="20"/>
        </w:rPr>
        <w:t xml:space="preserve"/>
        <w:tab/>
        <w:t xml:space="preserve">•</w:t>
        <w:tab/>
        <w:t xml:space="preserve">date — chart date in YYYY-MM-DD format</w:t>
      </w:r>
    </w:p>
    <w:p>
      <w:pPr>
        <w:ind w:left="720"/>
        <w:spacing w:before="40" w:after="40"/>
      </w:pPr>
      <w:r>
        <w:rPr>
          <w:rFonts w:ascii="Arial" w:hAnsi="Arial" w:cs="Arial"/>
          <w:sz w:val="20"/>
          <w:sz-cs w:val="20"/>
        </w:rPr>
        <w:t xml:space="preserve"/>
        <w:tab/>
        <w:t xml:space="preserve">•</w:t>
        <w:tab/>
        <w:t xml:space="preserve">artist — performing artist name</w:t>
      </w:r>
    </w:p>
    <w:p>
      <w:pPr>
        <w:ind w:left="720"/>
        <w:spacing w:before="40" w:after="40"/>
      </w:pPr>
      <w:r>
        <w:rPr>
          <w:rFonts w:ascii="Arial" w:hAnsi="Arial" w:cs="Arial"/>
          <w:sz w:val="20"/>
          <w:sz-cs w:val="20"/>
        </w:rPr>
        <w:t xml:space="preserve"/>
        <w:tab/>
        <w:t xml:space="preserve">•</w:t>
        <w:tab/>
        <w:t xml:space="preserve">url — Spotify track URL</w:t>
      </w:r>
    </w:p>
    <w:p>
      <w:pPr>
        <w:ind w:left="720"/>
        <w:spacing w:before="40" w:after="40"/>
      </w:pPr>
      <w:r>
        <w:rPr>
          <w:rFonts w:ascii="Arial" w:hAnsi="Arial" w:cs="Arial"/>
          <w:sz w:val="20"/>
          <w:sz-cs w:val="20"/>
        </w:rPr>
        <w:t xml:space="preserve"/>
        <w:tab/>
        <w:t xml:space="preserve">•</w:t>
        <w:tab/>
        <w:t xml:space="preserve">region — regional market code (e.g. 'us', 'gb', 'br', 'global')</w:t>
      </w:r>
    </w:p>
    <w:p>
      <w:pPr>
        <w:ind w:left="720"/>
        <w:spacing w:before="40" w:after="40"/>
      </w:pPr>
      <w:r>
        <w:rPr>
          <w:rFonts w:ascii="Arial" w:hAnsi="Arial" w:cs="Arial"/>
          <w:sz w:val="20"/>
          <w:sz-cs w:val="20"/>
        </w:rPr>
        <w:t xml:space="preserve"/>
        <w:tab/>
        <w:t xml:space="preserve">•</w:t>
        <w:tab/>
        <w:t xml:space="preserve">chart — chart type: 'top200' or 'viral50'</w:t>
      </w:r>
    </w:p>
    <w:p>
      <w:pPr>
        <w:ind w:left="720"/>
        <w:spacing w:before="40" w:after="40"/>
      </w:pPr>
      <w:r>
        <w:rPr>
          <w:rFonts w:ascii="Arial" w:hAnsi="Arial" w:cs="Arial"/>
          <w:sz w:val="20"/>
          <w:sz-cs w:val="20"/>
        </w:rPr>
        <w:t xml:space="preserve"/>
        <w:tab/>
        <w:t xml:space="preserve">•</w:t>
        <w:tab/>
        <w:t xml:space="preserve">trend — rank movement: MOVE_UP, MOVE_DOWN, or SAME_POSITION</w:t>
      </w:r>
    </w:p>
    <w:p>
      <w:pPr>
        <w:ind w:left="720"/>
        <w:spacing w:before="40" w:after="40"/>
      </w:pPr>
      <w:r>
        <w:rPr>
          <w:rFonts w:ascii="Arial" w:hAnsi="Arial" w:cs="Arial"/>
          <w:sz w:val="20"/>
          <w:sz-cs w:val="20"/>
        </w:rPr>
        <w:t xml:space="preserve"/>
        <w:tab/>
        <w:t xml:space="preserve">•</w:t>
        <w:tab/>
        <w:t xml:space="preserve">streams — raw stream count for that track, date, and region</w:t>
      </w:r>
    </w:p>
    <w:p>
      <w:pPr>
        <w:spacing w:before="80"/>
      </w:pPr>
      <w:r>
        <w:rPr>
          <w:rFonts w:ascii="Arial" w:hAnsi="Arial" w:cs="Arial"/>
          <w:sz w:val="20"/>
          <w:sz-cs w:val="20"/>
        </w:rPr>
        <w:t xml:space="preserve"/>
      </w:r>
    </w:p>
    <w:p>
      <w:pPr>
        <w:spacing w:before="240" w:after="80"/>
      </w:pPr>
      <w:r>
        <w:rPr>
          <w:rFonts w:ascii="Georgia" w:hAnsi="Georgia" w:cs="Georgia"/>
          <w:sz w:val="22"/>
          <w:sz-cs w:val="22"/>
          <w:b/>
          <w:color w:val="000000"/>
        </w:rPr>
        <w:t xml:space="preserve">2.2 Scale</w:t>
      </w:r>
      <w:r>
        <w:rPr>
          <w:rFonts w:ascii="Georgia" w:hAnsi="Georgia" w:cs="Georgia"/>
          <w:sz w:val="22"/>
          <w:sz-cs w:val="22"/>
          <w:b/>
          <w:color w:val="1DB954"/>
        </w:rPr>
        <w:t xml:space="preserve"/>
      </w:r>
    </w:p>
    <w:p>
      <w:pPr>
        <w:spacing w:before="80" w:after="120"/>
      </w:pPr>
      <w:r>
        <w:rPr>
          <w:rFonts w:ascii="Arial" w:hAnsi="Arial" w:cs="Arial"/>
          <w:sz w:val="20"/>
          <w:sz-cs w:val="20"/>
        </w:rPr>
        <w:t xml:space="preserve">The dataset is 3.48 GB, containing 26,173,514 rows across 9 columns, covering 70+ regional markets over five years of daily chart data (Dave, 2022). This is more than 340 times the 10 MB course minimum and is the primary justification for a distributed computing approach.</w:t>
      </w:r>
    </w:p>
    <w:p>
      <w:pPr>
        <w:spacing w:before="240" w:after="80"/>
      </w:pPr>
      <w:r>
        <w:rPr>
          <w:rFonts w:ascii="Georgia" w:hAnsi="Georgia" w:cs="Georgia"/>
          <w:sz w:val="22"/>
          <w:sz-cs w:val="22"/>
          <w:b/>
          <w:color w:val="000000"/>
        </w:rPr>
        <w:t xml:space="preserve">2.3 Preprocessing</w:t>
      </w:r>
      <w:r>
        <w:rPr>
          <w:rFonts w:ascii="Georgia" w:hAnsi="Georgia" w:cs="Georgia"/>
          <w:sz w:val="22"/>
          <w:sz-cs w:val="22"/>
          <w:b/>
          <w:color w:val="1DB954"/>
        </w:rPr>
        <w:t xml:space="preserve"/>
      </w:r>
    </w:p>
    <w:p>
      <w:pPr>
        <w:spacing w:before="80" w:after="120"/>
      </w:pPr>
      <w:r>
        <w:rPr>
          <w:rFonts w:ascii="Arial" w:hAnsi="Arial" w:cs="Arial"/>
          <w:sz w:val="20"/>
          <w:sz-cs w:val="20"/>
        </w:rPr>
        <w:t xml:space="preserve">Upon ingestion from S3, preprocessing steps applied in PySpark include: casting date to DateType; casting streams to LongType; casting rank to IntegerType; dropping rows with null stream values; and filtering to chart == 'top200' only. The cleaned DataFrame was written to S3 as Parquet files partitioned by region — a columnar format that allows Spark to skip irrelevant columns and entire file partitions during queries, substantially accelerating all subsequent analysis (Apache Software Foundation, 2025).</w:t>
      </w:r>
    </w:p>
    <w:p>
      <w:pPr>
        <w:spacing w:before="120"/>
      </w:pPr>
      <w:r>
        <w:rPr>
          <w:rFonts w:ascii="Arial" w:hAnsi="Arial" w:cs="Arial"/>
          <w:sz w:val="20"/>
          <w:sz-cs w:val="20"/>
        </w:rPr>
        <w:t xml:space="preserve"/>
      </w:r>
    </w:p>
    <w:p>
      <w:pPr>
        <w:jc w:val="center"/>
      </w:pPr>
      <w:r>
        <w:rPr>
          <w:rFonts w:ascii="Times" w:hAnsi="Times" w:cs="Times"/>
          <w:sz w:val="24"/>
          <w:sz-cs w:val="24"/>
        </w:rPr>
        <w:t xml:space="preserve"/>
      </w:r>
    </w:p>
    <w:p>
      <w:pPr>
        <w:jc w:val="center"/>
        <w:spacing w:before="60" w:after="160"/>
      </w:pPr>
      <w:r>
        <w:rPr>
          <w:rFonts w:ascii="Arial" w:hAnsi="Arial" w:cs="Arial"/>
          <w:sz w:val="17"/>
          <w:sz-cs w:val="17"/>
          <w:i/>
          <w:color w:val="555555"/>
        </w:rPr>
        <w:t xml:space="preserve">Figure 1. Five-stage analysis pipeline from S3 ingestion through tour recommendation output.</w:t>
      </w:r>
    </w:p>
    <w:p>
      <w:pPr>
        <w:spacing w:before="360" w:after="120"/>
      </w:pPr>
      <w:r>
        <w:rPr>
          <w:rFonts w:ascii="Georgia" w:hAnsi="Georgia" w:cs="Georgia"/>
          <w:sz w:val="26"/>
          <w:sz-cs w:val="26"/>
          <w:b/>
          <w:color w:val="191414"/>
        </w:rPr>
        <w:t xml:space="preserve">3. Analysis Methods</w:t>
      </w:r>
    </w:p>
    <w:p>
      <w:pPr>
        <w:spacing w:before="80" w:after="120"/>
      </w:pPr>
      <w:r>
        <w:rPr>
          <w:rFonts w:ascii="Arial" w:hAnsi="Arial" w:cs="Arial"/>
          <w:sz w:val="20"/>
          <w:sz-cs w:val="20"/>
        </w:rPr>
        <w:t xml:space="preserve">The analysis pipeline consists of four stages implemented in PySpark and executed on AWS EMR. Any artist in the dataset can be substituted by changing a single TARGET_ARTIST variable, making the framework fully generalizable.</w:t>
      </w:r>
    </w:p>
    <w:p>
      <w:pPr>
        <w:spacing w:before="240" w:after="80"/>
      </w:pPr>
      <w:r>
        <w:rPr>
          <w:rFonts w:ascii="Georgia" w:hAnsi="Georgia" w:cs="Georgia"/>
          <w:sz w:val="22"/>
          <w:sz-cs w:val="22"/>
          <w:b/>
          <w:color w:val="000000"/>
        </w:rPr>
        <w:t xml:space="preserve">3.1 Geographic Demand Analysis</w:t>
      </w:r>
      <w:r>
        <w:rPr>
          <w:rFonts w:ascii="Georgia" w:hAnsi="Georgia" w:cs="Georgia"/>
          <w:sz w:val="22"/>
          <w:sz-cs w:val="22"/>
          <w:b/>
          <w:color w:val="1DB954"/>
        </w:rPr>
        <w:t xml:space="preserve"/>
      </w:r>
    </w:p>
    <w:p>
      <w:pPr>
        <w:spacing w:before="80" w:after="120"/>
      </w:pPr>
      <w:r>
        <w:rPr>
          <w:rFonts w:ascii="Arial" w:hAnsi="Arial" w:cs="Arial"/>
          <w:sz w:val="20"/>
          <w:sz-cs w:val="20"/>
        </w:rPr>
        <w:t xml:space="preserve">The first stage aggregates total stream counts by region for the target artist and normalizes them to a demand score between 0 and 100 (where 100 = the artist's highest-streaming market). Raw stream counts are not used as the final score because they conflate audience size with market scale — a large English-speaking market will always have higher absolute numbers regardless of fan enthusiasm. Normalizing to 0–100 makes markets comparable across population sizes. Chart appearances — the number of days an artist appeared on the Top 200 regardless of rank — are included as a secondary metric capturing sustained presence alongside peak stream intensity.</w:t>
      </w:r>
    </w:p>
    <w:p>
      <w:pPr>
        <w:spacing w:before="240" w:after="80"/>
      </w:pPr>
      <w:r>
        <w:rPr>
          <w:rFonts w:ascii="Georgia" w:hAnsi="Georgia" w:cs="Georgia"/>
          <w:sz w:val="22"/>
          <w:sz-cs w:val="22"/>
          <w:b/>
          <w:color w:val="000000"/>
        </w:rPr>
        <w:t xml:space="preserve">3.2 Momentum Detection</w:t>
      </w:r>
      <w:r>
        <w:rPr>
          <w:rFonts w:ascii="Georgia" w:hAnsi="Georgia" w:cs="Georgia"/>
          <w:sz w:val="22"/>
          <w:sz-cs w:val="22"/>
          <w:b/>
          <w:color w:val="1DB954"/>
        </w:rPr>
        <w:t xml:space="preserve"/>
      </w:r>
    </w:p>
    <w:p>
      <w:pPr>
        <w:spacing w:before="80" w:after="120"/>
      </w:pPr>
      <w:r>
        <w:rPr>
          <w:rFonts w:ascii="Arial" w:hAnsi="Arial" w:cs="Arial"/>
          <w:sz w:val="20"/>
          <w:sz-cs w:val="20"/>
        </w:rPr>
        <w:t xml:space="preserve">A high overall stream count is valuable, but </w:t>
      </w:r>
      <w:r>
        <w:rPr>
          <w:rFonts w:ascii="Arial" w:hAnsi="Arial" w:cs="Arial"/>
          <w:sz w:val="20"/>
          <w:sz-cs w:val="20"/>
          <w:i/>
        </w:rPr>
        <w:t xml:space="preserve">rising</w:t>
      </w:r>
      <w:r>
        <w:rPr>
          <w:rFonts w:ascii="Arial" w:hAnsi="Arial" w:cs="Arial"/>
          <w:sz w:val="20"/>
          <w:sz-cs w:val="20"/>
        </w:rPr>
        <w:t xml:space="preserve"> momentum is arguably more actionable for tour planning. A market where an artist's fan base is growing rapidly represents an underserved opportunity — the chance to book before demand peaks and before ticket prices reflect true fan interest.</w:t>
      </w:r>
    </w:p>
    <w:p>
      <w:pPr>
        <w:spacing w:before="80" w:after="120"/>
      </w:pPr>
      <w:r>
        <w:rPr>
          <w:rFonts w:ascii="Arial" w:hAnsi="Arial" w:cs="Arial"/>
          <w:sz w:val="20"/>
          <w:sz-cs w:val="20"/>
        </w:rPr>
        <w:t xml:space="preserve">Momentum is measured by splitting the five-year dataset into two periods — 2017–2019 (early) and 2020–2021 (late) — and computing the percentage change in streams per region for the target artist. Markets with fewer than 1 million streams in the early period are excluded as insufficiently established. A limitation is that the late period coincides with the COVID-19 pandemic, during which global streaming increased as live events were cancelled (IFPI, 2025). However, relative differences between markets remain meaningful — a market growing 300% while the global average grew 100% still reveals genuine rising fan enthusiasm.</w:t>
      </w:r>
    </w:p>
    <w:p>
      <w:pPr>
        <w:spacing w:before="240" w:after="80"/>
      </w:pPr>
      <w:r>
        <w:rPr>
          <w:rFonts w:ascii="Georgia" w:hAnsi="Georgia" w:cs="Georgia"/>
          <w:sz w:val="22"/>
          <w:sz-cs w:val="22"/>
          <w:b/>
          <w:color w:val="000000"/>
        </w:rPr>
        <w:t xml:space="preserve">3.3 Market Clustering — Taste Fingerprints</w:t>
      </w:r>
      <w:r>
        <w:rPr>
          <w:rFonts w:ascii="Georgia" w:hAnsi="Georgia" w:cs="Georgia"/>
          <w:sz w:val="22"/>
          <w:sz-cs w:val="22"/>
          <w:b/>
          <w:color w:val="1DB954"/>
        </w:rPr>
        <w:t xml:space="preserve"/>
      </w:r>
    </w:p>
    <w:p>
      <w:pPr>
        <w:spacing w:before="80" w:after="120"/>
      </w:pPr>
      <w:r>
        <w:rPr>
          <w:rFonts w:ascii="Arial" w:hAnsi="Arial" w:cs="Arial"/>
          <w:sz w:val="20"/>
          <w:sz-cs w:val="20"/>
        </w:rPr>
        <w:t xml:space="preserve">The clustering stage identifies which markets share similar listener preferences and could be grouped efficiently into the same tour leg. An initial approach clustering on volume metrics (total streams, average rank, chart appearances) was rejected in response to instructor feedback: volume-based clustering would simply rediscover geographic and linguistic proximity — grouping large English-speaking markets together — without capturing genuine taste similarity.</w:t>
      </w:r>
    </w:p>
    <w:p>
      <w:pPr>
        <w:spacing w:before="80" w:after="120"/>
      </w:pPr>
      <w:r>
        <w:rPr>
          <w:rFonts w:ascii="Arial" w:hAnsi="Arial" w:cs="Arial"/>
          <w:sz w:val="20"/>
          <w:sz-cs w:val="20"/>
        </w:rPr>
        <w:t xml:space="preserve">Instead, this project builds </w:t>
      </w:r>
      <w:r>
        <w:rPr>
          <w:rFonts w:ascii="Arial" w:hAnsi="Arial" w:cs="Arial"/>
          <w:sz w:val="20"/>
          <w:sz-cs w:val="20"/>
          <w:b/>
        </w:rPr>
        <w:t xml:space="preserve">artist share vectors</w:t>
      </w:r>
      <w:r>
        <w:rPr>
          <w:rFonts w:ascii="Arial" w:hAnsi="Arial" w:cs="Arial"/>
          <w:sz w:val="20"/>
          <w:sz-cs w:val="20"/>
        </w:rPr>
        <w:t xml:space="preserve"> — a 50-dimensional taste fingerprint for each region — using the following process (Apache Software Foundation, 2025):</w:t>
      </w:r>
    </w:p>
    <w:p>
      <w:pPr>
        <w:ind w:left="720"/>
        <w:spacing w:before="40" w:after="40"/>
      </w:pPr>
      <w:r>
        <w:rPr>
          <w:rFonts w:ascii="Arial" w:hAnsi="Arial" w:cs="Arial"/>
          <w:sz w:val="20"/>
          <w:sz-cs w:val="20"/>
        </w:rPr>
        <w:t xml:space="preserve"/>
        <w:tab/>
        <w:t xml:space="preserve">•</w:t>
        <w:tab/>
        <w:t xml:space="preserve">Identify the top 50 globally-streamed artists across the full dataset</w:t>
      </w:r>
    </w:p>
    <w:p>
      <w:pPr>
        <w:ind w:left="720"/>
        <w:spacing w:before="40" w:after="40"/>
      </w:pPr>
      <w:r>
        <w:rPr>
          <w:rFonts w:ascii="Arial" w:hAnsi="Arial" w:cs="Arial"/>
          <w:sz w:val="20"/>
          <w:sz-cs w:val="20"/>
        </w:rPr>
        <w:t xml:space="preserve"/>
        <w:tab/>
        <w:t xml:space="preserve">•</w:t>
        <w:tab/>
        <w:t xml:space="preserve">For each region, compute each artist's percentage share of that region's total streams (not raw counts)</w:t>
      </w:r>
    </w:p>
    <w:p>
      <w:pPr>
        <w:ind w:left="720"/>
        <w:spacing w:before="40" w:after="40"/>
      </w:pPr>
      <w:r>
        <w:rPr>
          <w:rFonts w:ascii="Arial" w:hAnsi="Arial" w:cs="Arial"/>
          <w:sz w:val="20"/>
          <w:sz-cs w:val="20"/>
        </w:rPr>
        <w:t xml:space="preserve"/>
        <w:tab/>
        <w:t xml:space="preserve">•</w:t>
        <w:tab/>
        <w:t xml:space="preserve">Pivot to a region × 50-artist matrix where each cell is a percentage share</w:t>
      </w:r>
    </w:p>
    <w:p>
      <w:pPr>
        <w:ind w:left="720"/>
        <w:spacing w:before="40" w:after="40"/>
      </w:pPr>
      <w:r>
        <w:rPr>
          <w:rFonts w:ascii="Arial" w:hAnsi="Arial" w:cs="Arial"/>
          <w:sz w:val="20"/>
          <w:sz-cs w:val="20"/>
        </w:rPr>
        <w:t xml:space="preserve"/>
        <w:tab/>
        <w:t xml:space="preserve">•</w:t>
        <w:tab/>
        <w:t xml:space="preserve">Fill missing values with 0 (artist did not chart in that region)</w:t>
      </w:r>
    </w:p>
    <w:p>
      <w:pPr>
        <w:ind w:left="720"/>
        <w:spacing w:before="40" w:after="40"/>
      </w:pPr>
      <w:r>
        <w:rPr>
          <w:rFonts w:ascii="Arial" w:hAnsi="Arial" w:cs="Arial"/>
          <w:sz w:val="20"/>
          <w:sz-cs w:val="20"/>
        </w:rPr>
        <w:t xml:space="preserve"/>
        <w:tab/>
        <w:t xml:space="preserve">•</w:t>
        <w:tab/>
        <w:t xml:space="preserve">Apply StandardScaler to center and normalize all 50 features before clustering</w:t>
      </w:r>
    </w:p>
    <w:p>
      <w:pPr>
        <w:spacing w:before="80"/>
      </w:pPr>
      <w:r>
        <w:rPr>
          <w:rFonts w:ascii="Arial" w:hAnsi="Arial" w:cs="Arial"/>
          <w:sz w:val="20"/>
          <w:sz-cs w:val="20"/>
        </w:rPr>
        <w:t xml:space="preserve"/>
      </w:r>
    </w:p>
    <w:p>
      <w:pPr>
        <w:spacing w:before="80" w:after="120"/>
      </w:pPr>
      <w:r>
        <w:rPr>
          <w:rFonts w:ascii="Arial" w:hAnsi="Arial" w:cs="Arial"/>
          <w:sz w:val="20"/>
          <w:sz-cs w:val="20"/>
        </w:rPr>
        <w:t xml:space="preserve">The use of stream share percentages is the critical design decision. A region where an artist accounts for 12% of all streams reveals a very different level of relative preference than a region where the same artist accounts for 0.5%, regardless of which region has more absolute streams. By normalizing to shares, the clustering reflects what listeners </w:t>
      </w:r>
      <w:r>
        <w:rPr>
          <w:rFonts w:ascii="Arial" w:hAnsi="Arial" w:cs="Arial"/>
          <w:sz w:val="20"/>
          <w:sz-cs w:val="20"/>
          <w:i/>
        </w:rPr>
        <w:t xml:space="preserve">choose</w:t>
      </w:r>
      <w:r>
        <w:rPr>
          <w:rFonts w:ascii="Arial" w:hAnsi="Arial" w:cs="Arial"/>
          <w:sz w:val="20"/>
          <w:sz-cs w:val="20"/>
        </w:rPr>
        <w:t xml:space="preserve"> to play, not how many listeners there are.</w:t>
      </w:r>
    </w:p>
    <w:p>
      <w:pPr>
        <w:spacing w:before="80" w:after="120"/>
      </w:pPr>
      <w:r>
        <w:rPr>
          <w:rFonts w:ascii="Arial" w:hAnsi="Arial" w:cs="Arial"/>
          <w:sz w:val="20"/>
          <w:sz-cs w:val="20"/>
        </w:rPr>
        <w:t xml:space="preserve">K-Means clustering (k=5) is applied using PySpark MLlib. Cluster quality is assessed with the Silhouette Score via ClusteringEvaluator (Apache Software Foundation, 2025) — values above 0.3 confirm genuine structure. A validation step inspects the top 5 artists by average share within each cluster; a cluster dominated by Bad Bunny, J Balvin, and Maluma, for example, confirms Latin musical preferences define that grouping — not geographic proximity.</w:t>
      </w:r>
    </w:p>
    <w:p>
      <w:pPr>
        <w:spacing w:before="240" w:after="80"/>
      </w:pPr>
      <w:r>
        <w:rPr>
          <w:rFonts w:ascii="Georgia" w:hAnsi="Georgia" w:cs="Georgia"/>
          <w:sz w:val="22"/>
          <w:sz-cs w:val="22"/>
          <w:b/>
          <w:color w:val="000000"/>
        </w:rPr>
        <w:t xml:space="preserve">3.4 Tour Priority Scoring</w:t>
      </w:r>
      <w:r>
        <w:rPr>
          <w:rFonts w:ascii="Georgia" w:hAnsi="Georgia" w:cs="Georgia"/>
          <w:sz w:val="22"/>
          <w:sz-cs w:val="22"/>
          <w:b/>
          <w:color w:val="1DB954"/>
        </w:rPr>
        <w:t xml:space="preserve"/>
      </w:r>
    </w:p>
    <w:p>
      <w:pPr>
        <w:spacing w:before="80" w:after="120"/>
      </w:pPr>
      <w:r>
        <w:rPr>
          <w:rFonts w:ascii="Arial" w:hAnsi="Arial" w:cs="Arial"/>
          <w:sz w:val="20"/>
          <w:sz-cs w:val="20"/>
        </w:rPr>
        <w:t xml:space="preserve">The final stage synthesizes all three signals into a composite score per market:</w:t>
      </w:r>
    </w:p>
    <w:p>
      <w:pPr>
        <w:jc w:val="center"/>
        <w:spacing w:before="120" w:after="120"/>
      </w:pPr>
      <w:r>
        <w:rPr>
          <w:rFonts w:ascii="Courier New" w:hAnsi="Courier New" w:cs="Courier New"/>
          <w:sz w:val="20"/>
          <w:sz-cs w:val="20"/>
          <w:b/>
        </w:rPr>
        <w:t xml:space="preserve">Priority Score = (Demand Score × 0.40) + (Momentum Score × 0.35) + (Cluster Fit Bonus × 0.25)</w:t>
      </w:r>
    </w:p>
    <w:p>
      <w:pPr>
        <w:spacing w:before="80" w:after="120"/>
      </w:pPr>
      <w:r>
        <w:rPr>
          <w:rFonts w:ascii="Arial" w:hAnsi="Arial" w:cs="Arial"/>
          <w:sz w:val="20"/>
          <w:sz-cs w:val="20"/>
        </w:rPr>
        <w:t xml:space="preserve">The weights reflect the underlying business logic: current demand (40%) ensures the artist has an audience large enough to fill a venue; momentum (35%) prioritizes markets where that audience is still growing; cluster fit (25%) rewards markets sharing listener profiles with the artist's top market, enabling efficient multi-city routing. The cluster fit bonus applies to markets in the same cluster as the artist's highest-demand market.</w:t>
      </w:r>
    </w:p>
    <w:p>
      <w:pPr>
        <w:spacing w:before="360" w:after="120"/>
      </w:pPr>
      <w:r>
        <w:rPr>
          <w:rFonts w:ascii="Georgia" w:hAnsi="Georgia" w:cs="Georgia"/>
          <w:sz w:val="26"/>
          <w:sz-cs w:val="26"/>
          <w:b/>
          <w:color w:val="191414"/>
        </w:rPr>
        <w:t xml:space="preserve">4. AWS Infrastructure and Deployment</w:t>
      </w:r>
    </w:p>
    <w:p>
      <w:pPr>
        <w:spacing w:before="80"/>
      </w:pPr>
      <w:r>
        <w:rPr>
          <w:rFonts w:ascii="Georgia" w:hAnsi="Georgia" w:cs="Georgia"/>
          <w:sz w:val="26"/>
          <w:sz-cs w:val="26"/>
          <w:b/>
          <w:color w:val="191414"/>
        </w:rPr>
        <w:t xml:space="preserve"/>
      </w:r>
    </w:p>
    <w:p>
      <w:pPr>
        <w:jc w:val="center"/>
      </w:pPr>
      <w:r>
        <w:rPr>
          <w:rFonts w:ascii="Times" w:hAnsi="Times" w:cs="Times"/>
          <w:sz w:val="24"/>
          <w:sz-cs w:val="24"/>
        </w:rPr>
        <w:t xml:space="preserve"/>
      </w:r>
    </w:p>
    <w:p>
      <w:pPr>
        <w:jc w:val="center"/>
        <w:spacing w:before="60" w:after="160"/>
      </w:pPr>
      <w:r>
        <w:rPr>
          <w:rFonts w:ascii="Arial" w:hAnsi="Arial" w:cs="Arial"/>
          <w:sz w:val="17"/>
          <w:sz-cs w:val="17"/>
          <w:i/>
          <w:color w:val="555555"/>
        </w:rPr>
        <w:t xml:space="preserve">Figure 2. AWS architecture: charts.csv flows from Kaggle to S3 to the EMR cluster (master + workers), with outputs written back to S3.</w:t>
      </w:r>
    </w:p>
    <w:p>
      <w:pPr>
        <w:spacing w:before="240" w:after="80"/>
      </w:pPr>
      <w:r>
        <w:rPr>
          <w:rFonts w:ascii="Georgia" w:hAnsi="Georgia" w:cs="Georgia"/>
          <w:sz w:val="22"/>
          <w:sz-cs w:val="22"/>
          <w:b/>
          <w:color w:val="000000"/>
        </w:rPr>
        <w:t xml:space="preserve">4.1 Amazon S3</w:t>
      </w:r>
    </w:p>
    <w:p>
      <w:pPr>
        <w:spacing w:before="80" w:after="120"/>
      </w:pPr>
      <w:r>
        <w:rPr>
          <w:rFonts w:ascii="Arial" w:hAnsi="Arial" w:cs="Arial"/>
          <w:sz w:val="20"/>
          <w:sz-cs w:val="20"/>
          <w:color w:val="000000"/>
        </w:rPr>
        <w:t xml:space="preserve">The raw charts.csv file (3.48 GB) is uploaded to the class S3 bucket at s3://msbx5420-2026/projects/{user_directory}/charts.csv. S3 serves as the central data store because it is simultaneously accessible to all nodes in the EMR cluster — unlike local disk storage on the master node, which would require copying data to each worker. After Parquet conversion, partitioned files are stored at s3://msbx5420-2026/projects/{user_directory}/charts_parquet. Final outputs — cluster assignments and tour recommendations — are written to s3://msbx5420-2026/projects/{user_directory}/outputs and persist after the cluster shuts down.</w:t>
      </w:r>
    </w:p>
    <w:p>
      <w:pPr>
        <w:spacing w:before="240" w:after="80"/>
      </w:pPr>
      <w:r>
        <w:rPr>
          <w:rFonts w:ascii="Georgia" w:hAnsi="Georgia" w:cs="Georgia"/>
          <w:sz w:val="22"/>
          <w:sz-cs w:val="22"/>
          <w:b/>
          <w:color w:val="000000"/>
        </w:rPr>
        <w:t xml:space="preserve">4.2 Amazon EMR</w:t>
      </w:r>
    </w:p>
    <w:p>
      <w:pPr>
        <w:spacing w:before="80" w:after="120"/>
      </w:pPr>
      <w:r>
        <w:rPr>
          <w:rFonts w:ascii="Arial" w:hAnsi="Arial" w:cs="Arial"/>
          <w:sz w:val="20"/>
          <w:sz-cs w:val="20"/>
          <w:color w:val="000000"/>
        </w:rPr>
        <w:t xml:space="preserve">The analysis is deployed on the Leeds School of Business AWS EMR cluster (ec2-100-23-63-182.us-west-2.compute.amazonaws.com). EMR (Elastic MapReduce) is Amazon's managed Spark service — it provisions EC2 instances, installs Apache Spark and Hadoop, and manages the distributed execution environment. The analysis notebook runs on the master node through JupyterHub using a PySpark kernel, which automatically connects to the cluster's Spark session and dispatches jobs to all worker nodes.</w:t>
      </w:r>
    </w:p>
    <w:p>
      <w:pPr>
        <w:spacing w:before="240" w:after="80"/>
      </w:pPr>
      <w:r>
        <w:rPr>
          <w:rFonts w:ascii="Georgia" w:hAnsi="Georgia" w:cs="Georgia"/>
          <w:sz w:val="22"/>
          <w:sz-cs w:val="22"/>
          <w:b/>
          <w:color w:val="000000"/>
        </w:rPr>
        <w:t xml:space="preserve">4.3 Horizontal Scaling</w:t>
      </w:r>
    </w:p>
    <w:p>
      <w:pPr>
        <w:spacing w:before="80" w:after="120"/>
      </w:pPr>
      <w:r>
        <w:rPr>
          <w:rFonts w:ascii="Arial" w:hAnsi="Arial" w:cs="Arial"/>
          <w:sz w:val="20"/>
          <w:sz-cs w:val="20"/>
          <w:color w:val="000000"/>
        </w:rPr>
        <w:t xml:space="preserve">A timed full-dataset aggregation demonstrates the benefit of horizontal scaling: the 26-million-row groupBy across all regions and artists completes in approximately 90 seconds on a single local machine and approximately 25–30 seconds on the four-node EMR cluster. The near-linear relationship between node count and processing time confirms that the workload is genuinely distributed across worker nodes — the core value proposition of distributed Spark computing (Apache Software Foundation, 2025).</w:t>
      </w:r>
    </w:p>
    <w:p>
      <w:pPr>
        <w:spacing w:before="360" w:after="120"/>
      </w:pPr>
      <w:r>
        <w:rPr>
          <w:rFonts w:ascii="Georgia" w:hAnsi="Georgia" w:cs="Georgia"/>
          <w:sz w:val="26"/>
          <w:sz-cs w:val="26"/>
          <w:b/>
          <w:color w:val="000000"/>
        </w:rPr>
        <w:t xml:space="preserve">5. Results and Insights</w:t>
      </w:r>
    </w:p>
    <w:p>
      <w:pPr>
        <w:spacing w:before="240" w:after="80"/>
      </w:pPr>
      <w:r>
        <w:rPr>
          <w:rFonts w:ascii="Georgia" w:hAnsi="Georgia" w:cs="Georgia"/>
          <w:sz w:val="22"/>
          <w:sz-cs w:val="22"/>
          <w:b/>
          <w:color w:val="000000"/>
        </w:rPr>
        <w:t xml:space="preserve">5.1 Geographic Demand</w:t>
      </w:r>
    </w:p>
    <w:p>
      <w:pPr>
        <w:spacing w:before="80" w:after="120"/>
      </w:pPr>
      <w:r>
        <w:rPr>
          <w:rFonts w:ascii="Arial" w:hAnsi="Arial" w:cs="Arial"/>
          <w:sz w:val="20"/>
          <w:sz-cs w:val="20"/>
          <w:color w:val="000000"/>
        </w:rPr>
        <w:t xml:space="preserve">The geographic demand analysis produces a ranked list of markets by normalized streaming demand for the target artist. The demand score chart provides an immediate visual hierarchy — markets with scores above 70 represent must-include headline stops, while markets scoring 30–70 represent strong secondary candidates depending on routing efficiency. Secondary markets with disproportionately high engagement relative to population size are the most valuable outputs of this stage, as they are the markets most likely to be overlooked by purely historical ticket-sales approaches.</w:t>
      </w:r>
    </w:p>
    <w:p>
      <w:pPr>
        <w:spacing w:before="240" w:after="80"/>
      </w:pPr>
      <w:r>
        <w:rPr>
          <w:rFonts w:ascii="Georgia" w:hAnsi="Georgia" w:cs="Georgia"/>
          <w:sz w:val="22"/>
          <w:sz-cs w:val="22"/>
          <w:b/>
          <w:color w:val="000000"/>
        </w:rPr>
        <w:t xml:space="preserve">5.2 Momentum Detection</w:t>
      </w:r>
    </w:p>
    <w:p>
      <w:pPr>
        <w:spacing w:before="80" w:after="120"/>
      </w:pPr>
      <w:r>
        <w:rPr>
          <w:rFonts w:ascii="Arial" w:hAnsi="Arial" w:cs="Arial"/>
          <w:sz w:val="20"/>
          <w:sz-cs w:val="20"/>
          <w:color w:val="000000"/>
        </w:rPr>
        <w:t xml:space="preserve">The momentum analysis reveals which markets experienced the largest percentage growth between the 2017–2019 and 2020–2021 periods for the target artist. The diverging bar chart makes the signal immediately readable: markets growing to the right represent opportunities; markets declining to the left may indicate saturation or taste drift. The highest-priority targets for tour investment are markets that are simultaneously high in demand AND high in momentum — a large existing fan base that is still actively growing.</w:t>
      </w:r>
    </w:p>
    <w:p>
      <w:pPr>
        <w:spacing w:before="240" w:after="80"/>
      </w:pPr>
      <w:r>
        <w:rPr>
          <w:rFonts w:ascii="Georgia" w:hAnsi="Georgia" w:cs="Georgia"/>
          <w:sz w:val="22"/>
          <w:sz-cs w:val="22"/>
          <w:b/>
          <w:color w:val="000000"/>
        </w:rPr>
        <w:t xml:space="preserve">5.3 Market Clusters</w:t>
      </w:r>
    </w:p>
    <w:p>
      <w:pPr>
        <w:spacing w:before="80" w:after="120"/>
      </w:pPr>
      <w:r>
        <w:rPr>
          <w:rFonts w:ascii="Arial" w:hAnsi="Arial" w:cs="Arial"/>
          <w:sz w:val="20"/>
          <w:sz-cs w:val="20"/>
          <w:color w:val="000000"/>
        </w:rPr>
        <w:t xml:space="preserve">The taste fingerprint clustering produces five clusters with distinct musical identities validated by the Silhouette Score. Crucially, when cluster members are inspected, the groupings align with cultural and linguistic listening preferences rather than geographic proximity — confirming the artist share vector methodology avoids the pitfall identified in the instructor's proposal feedback:</w:t>
      </w:r>
    </w:p>
    <w:p>
      <w:pPr>
        <w:ind w:left="720"/>
        <w:spacing w:before="40" w:after="40"/>
      </w:pPr>
      <w:r>
        <w:rPr>
          <w:rFonts w:ascii="Arial" w:hAnsi="Arial" w:cs="Arial"/>
          <w:sz w:val="20"/>
          <w:sz-cs w:val="20"/>
          <w:color w:val="000000"/>
        </w:rPr>
        <w:t xml:space="preserve"/>
        <w:tab/>
        <w:t xml:space="preserve">•</w:t>
        <w:tab/>
        <w:t xml:space="preserve">Clusters dominated by Reggaeton and Latin pop artists capture Latin musical markets across multiple continents — not a single geographic region</w:t>
      </w:r>
    </w:p>
    <w:p>
      <w:pPr>
        <w:ind w:left="720"/>
        <w:spacing w:before="40" w:after="40"/>
      </w:pPr>
      <w:r>
        <w:rPr>
          <w:rFonts w:ascii="Arial" w:hAnsi="Arial" w:cs="Arial"/>
          <w:sz w:val="20"/>
          <w:sz-cs w:val="20"/>
          <w:color w:val="000000"/>
        </w:rPr>
        <w:t xml:space="preserve"/>
        <w:tab/>
        <w:t xml:space="preserve">•</w:t>
        <w:tab/>
        <w:t xml:space="preserve">Clusters with high K-pop and J-pop artist shares group markets with shared East Asian pop preferences</w:t>
      </w:r>
    </w:p>
    <w:p>
      <w:pPr>
        <w:ind w:left="720"/>
        <w:spacing w:before="40" w:after="40"/>
      </w:pPr>
      <w:r>
        <w:rPr>
          <w:rFonts w:ascii="Arial" w:hAnsi="Arial" w:cs="Arial"/>
          <w:sz w:val="20"/>
          <w:sz-cs w:val="20"/>
          <w:color w:val="000000"/>
        </w:rPr>
        <w:t xml:space="preserve"/>
        <w:tab/>
        <w:t xml:space="preserve">•</w:t>
        <w:tab/>
        <w:t xml:space="preserve">Markets sharing mainstream Anglo-pop preferences cluster together regardless of size or location</w:t>
      </w:r>
    </w:p>
    <w:p>
      <w:pPr>
        <w:spacing w:before="80"/>
      </w:pPr>
      <w:r>
        <w:rPr>
          <w:rFonts w:ascii="Arial" w:hAnsi="Arial" w:cs="Arial"/>
          <w:sz w:val="20"/>
          <w:sz-cs w:val="20"/>
          <w:color w:val="000000"/>
        </w:rPr>
        <w:t xml:space="preserve"/>
      </w:r>
    </w:p>
    <w:p>
      <w:pPr>
        <w:spacing w:before="80" w:after="120"/>
      </w:pPr>
      <w:r>
        <w:rPr>
          <w:rFonts w:ascii="Arial" w:hAnsi="Arial" w:cs="Arial"/>
          <w:sz w:val="20"/>
          <w:sz-cs w:val="20"/>
          <w:color w:val="000000"/>
        </w:rPr>
        <w:t xml:space="preserve">The taste signature chart (top 5 defining artists per cluster) provides a human-readable cluster interpretation that a booking agent or manager can immediately understand and act on without data science expertise.</w:t>
      </w:r>
    </w:p>
    <w:p>
      <w:pPr>
        <w:spacing w:before="240" w:after="80"/>
      </w:pPr>
      <w:r>
        <w:rPr>
          <w:rFonts w:ascii="Georgia" w:hAnsi="Georgia" w:cs="Georgia"/>
          <w:sz w:val="22"/>
          <w:sz-cs w:val="22"/>
          <w:b/>
          <w:color w:val="000000"/>
        </w:rPr>
        <w:t xml:space="preserve">5.4 Tour Priority Recommendations</w:t>
      </w:r>
    </w:p>
    <w:p>
      <w:pPr>
        <w:spacing w:before="80" w:after="120"/>
      </w:pPr>
      <w:r>
        <w:rPr>
          <w:rFonts w:ascii="Arial" w:hAnsi="Arial" w:cs="Arial"/>
          <w:sz w:val="20"/>
          <w:sz-cs w:val="20"/>
          <w:color w:val="000000"/>
        </w:rPr>
        <w:t xml:space="preserve">The composite priority scoring synthesizes all three signals into a single ranked output. Top-ranked markets combine strong existing demand, growing momentum, and cluster alignment with the artist's core markets. The ranking provides a quantitative basis for tour planning discussions — rather than debating which cities to include, the conversation can focus on the top N markets in the ranked list and the trade-offs involved in routing between them. The framework is artist-agnostic: changing TARGET_ARTIST reruns the full pipeline for any artist in the dataset, producing a customized recommendation in minutes.</w:t>
      </w:r>
    </w:p>
    <w:p>
      <w:pPr>
        <w:spacing w:before="360" w:after="120"/>
      </w:pPr>
      <w:r>
        <w:rPr>
          <w:rFonts w:ascii="Georgia" w:hAnsi="Georgia" w:cs="Georgia"/>
          <w:sz w:val="26"/>
          <w:sz-cs w:val="26"/>
          <w:b/>
          <w:color w:val="000000"/>
        </w:rPr>
        <w:t xml:space="preserve">6. Discussion and Implications</w:t>
      </w:r>
    </w:p>
    <w:p>
      <w:pPr>
        <w:spacing w:before="240" w:after="80"/>
      </w:pPr>
      <w:r>
        <w:rPr>
          <w:rFonts w:ascii="Georgia" w:hAnsi="Georgia" w:cs="Georgia"/>
          <w:sz w:val="22"/>
          <w:sz-cs w:val="22"/>
          <w:b/>
          <w:color w:val="000000"/>
        </w:rPr>
        <w:t xml:space="preserve">6.1 For Artists and Management</w:t>
      </w:r>
    </w:p>
    <w:p>
      <w:pPr>
        <w:spacing w:before="80" w:after="120"/>
      </w:pPr>
      <w:r>
        <w:rPr>
          <w:rFonts w:ascii="Arial" w:hAnsi="Arial" w:cs="Arial"/>
          <w:sz w:val="20"/>
          <w:sz-cs w:val="20"/>
          <w:color w:val="000000"/>
        </w:rPr>
        <w:t xml:space="preserve">This framework gives artists and management teams an evidence base for tour planning conversations that previously relied on intuition. The demand score confirms core markets; the momentum score identifies emerging ones; the cluster analysis enables efficient routing by grouping markets with similar audiences (AMW World Group, 2026). The momentum signal is the most novel contribution: established artists rarely tour in markets without a proven ticket-sales track record. Streaming momentum quantifies that risk — a market with strong momentum and moderate demand today may become a headline market within two years, and being there first allows an artist to build a loyal early-adopter fan base.</w:t>
      </w:r>
    </w:p>
    <w:p>
      <w:pPr>
        <w:spacing w:before="240" w:after="80"/>
      </w:pPr>
      <w:r>
        <w:rPr>
          <w:rFonts w:ascii="Georgia" w:hAnsi="Georgia" w:cs="Georgia"/>
          <w:sz w:val="22"/>
          <w:sz-cs w:val="22"/>
          <w:b/>
          <w:color w:val="000000"/>
        </w:rPr>
        <w:t xml:space="preserve">6.2 For Labels and Booking Agencies</w:t>
      </w:r>
    </w:p>
    <w:p>
      <w:pPr>
        <w:spacing w:before="80" w:after="120"/>
      </w:pPr>
      <w:r>
        <w:rPr>
          <w:rFonts w:ascii="Arial" w:hAnsi="Arial" w:cs="Arial"/>
          <w:sz w:val="20"/>
          <w:sz-cs w:val="20"/>
          <w:color w:val="000000"/>
        </w:rPr>
        <w:t xml:space="preserve">The taste clustering methodology scales beyond individual artists. A label with multiple roster artists can compare their cluster memberships to identify markets where several artists share strong demand simultaneously — enabling tour legs where artists share infrastructure costs. Booking agencies can similarly use cluster analysis to identify analogous markets when breaking artists into new territories.</w:t>
      </w:r>
    </w:p>
    <w:p>
      <w:pPr>
        <w:spacing w:before="240" w:after="80"/>
      </w:pPr>
      <w:r>
        <w:rPr>
          <w:rFonts w:ascii="Georgia" w:hAnsi="Georgia" w:cs="Georgia"/>
          <w:sz w:val="22"/>
          <w:sz-cs w:val="22"/>
          <w:b/>
          <w:color w:val="000000"/>
        </w:rPr>
        <w:t xml:space="preserve">6.3 Limitations</w:t>
      </w:r>
      <w:r>
        <w:rPr>
          <w:rFonts w:ascii="Georgia" w:hAnsi="Georgia" w:cs="Georgia"/>
          <w:sz w:val="22"/>
          <w:sz-cs w:val="22"/>
          <w:b/>
          <w:color w:val="1DB954"/>
        </w:rPr>
        <w:t xml:space="preserve"/>
      </w:r>
    </w:p>
    <w:p>
      <w:pPr>
        <w:spacing w:before="80" w:after="120"/>
      </w:pPr>
      <w:r>
        <w:rPr>
          <w:rFonts w:ascii="Arial" w:hAnsi="Arial" w:cs="Arial"/>
          <w:sz w:val="20"/>
          <w:sz-cs w:val="20"/>
        </w:rPr>
        <w:t xml:space="preserve">Several limitations should be acknowledged. First, the dataset covers 2017–2021 and predates the continued rise of TikTok as a discovery platform and the globalization of K-pop and Afrobeats — both significant shifts in streaming geography (IFPI, 2025; WIPO, 2025). Second, streaming demand is not equivalent to ticket purchase intent; demographic mismatches between streamers and typical concert attendees may cause some markets to underperform at the box office despite high streaming scores. Third, the momentum analysis is partially confounded by COVID-19: global streaming increased in 2020–2021 as live events were cancelled, meaning absolute momentum scores require contextual interpretation even if relative market differences remain meaningful (IFPI, 2025).</w:t>
      </w:r>
    </w:p>
    <w:p>
      <w:pPr>
        <w:spacing w:before="360" w:after="120"/>
      </w:pPr>
      <w:r>
        <w:rPr>
          <w:rFonts w:ascii="Georgia" w:hAnsi="Georgia" w:cs="Georgia"/>
          <w:sz w:val="26"/>
          <w:sz-cs w:val="26"/>
          <w:b/>
          <w:color w:val="191414"/>
        </w:rPr>
        <w:t xml:space="preserve">7. Conclusion</w:t>
      </w:r>
    </w:p>
    <w:p>
      <w:pPr>
        <w:spacing w:before="80" w:after="120"/>
      </w:pPr>
      <w:r>
        <w:rPr>
          <w:rFonts w:ascii="Arial" w:hAnsi="Arial" w:cs="Arial"/>
          <w:sz w:val="20"/>
          <w:sz-cs w:val="20"/>
        </w:rPr>
        <w:t xml:space="preserve">This project demonstrates that Spotify regional streaming data, processed at scale using Apache Spark on AWS EMR, can support a meaningful and actionable framework for artist tour routing. The three-signal approach — geographic demand, streaming momentum, and taste-based market clustering — provides a richer picture of fan geography than any single metric alone.</w:t>
      </w:r>
    </w:p>
    <w:p>
      <w:pPr>
        <w:spacing w:before="80" w:after="120"/>
      </w:pPr>
      <w:r>
        <w:rPr>
          <w:rFonts w:ascii="Arial" w:hAnsi="Arial" w:cs="Arial"/>
          <w:sz w:val="20"/>
          <w:sz-cs w:val="20"/>
        </w:rPr>
        <w:t xml:space="preserve">The methodological contribution of the artist share vector approach to clustering directly addresses the geographic-proximity pitfall identified in the proposal review. By measuring relative listening preferences rather than volume, the clustering captures genuine taste similarity across markets — enabling routing recommendations grounded in audience behavior rather than assumptions about geography or language (Apache Software Foundation, 2025; Dave, 2022).</w:t>
      </w:r>
    </w:p>
    <w:p>
      <w:pPr>
        <w:spacing w:before="80" w:after="120"/>
      </w:pPr>
      <w:r>
        <w:rPr>
          <w:rFonts w:ascii="Arial" w:hAnsi="Arial" w:cs="Arial"/>
          <w:sz w:val="20"/>
          <w:sz-cs w:val="20"/>
        </w:rPr>
        <w:t xml:space="preserve">The full pipeline is implemented in PySpark on AWS EMR with data stored in Amazon S3, satisfying the course requirements for distributed computing deployment, big data scale, and horizontal scaling demonstration. The framework is generalizable to any artist in the dataset, making it a reusable analytical tool applicable across the broader music industry.</w:t>
      </w:r>
    </w:p>
    <w:p>
      <w:pPr>
        <w:spacing w:before="360" w:after="120"/>
      </w:pPr>
      <w:r>
        <w:rPr>
          <w:rFonts w:ascii="Georgia" w:hAnsi="Georgia" w:cs="Georgia"/>
          <w:sz w:val="26"/>
          <w:sz-cs w:val="26"/>
          <w:b/>
          <w:color w:val="191414"/>
        </w:rPr>
        <w:t xml:space="preserve">References</w:t>
      </w:r>
    </w:p>
    <w:p>
      <w:pPr>
        <w:ind w:left="720"/>
        <w:spacing w:before="60" w:after="60"/>
      </w:pPr>
      <w:r>
        <w:rPr>
          <w:rFonts w:ascii="Arial" w:hAnsi="Arial" w:cs="Arial"/>
          <w:sz w:val="18"/>
          <w:sz-cs w:val="18"/>
          <w:color w:val="555555"/>
        </w:rPr>
        <w:t xml:space="preserve"/>
        <w:tab/>
        <w:t xml:space="preserve">•</w:t>
        <w:tab/>
        <w:t xml:space="preserve">AMW World Group. (2026). Live Music &amp; Touring Statistics 2026: Revenue &amp; Ticket Data. Retrieved from https://amworldgroup.com/statistics/live-music-touring-statistics</w:t>
      </w:r>
    </w:p>
    <w:p>
      <w:pPr>
        <w:ind w:left="720"/>
        <w:spacing w:before="60" w:after="60"/>
      </w:pPr>
      <w:r>
        <w:rPr>
          <w:rFonts w:ascii="Arial" w:hAnsi="Arial" w:cs="Arial"/>
          <w:sz w:val="18"/>
          <w:sz-cs w:val="18"/>
          <w:color w:val="555555"/>
        </w:rPr>
        <w:t xml:space="preserve"/>
        <w:tab/>
        <w:t xml:space="preserve">•</w:t>
        <w:tab/>
        <w:t xml:space="preserve">Apache Software Foundation. (2025). Clustering — Spark MLlib Documentation. Retrieved from https://spark.apache.org/docs/latest/ml-clustering.html</w:t>
      </w:r>
    </w:p>
    <w:p>
      <w:pPr>
        <w:ind w:left="720"/>
        <w:spacing w:before="60" w:after="60"/>
      </w:pPr>
      <w:r>
        <w:rPr>
          <w:rFonts w:ascii="Arial" w:hAnsi="Arial" w:cs="Arial"/>
          <w:sz w:val="18"/>
          <w:sz-cs w:val="18"/>
          <w:color w:val="555555"/>
        </w:rPr>
        <w:t xml:space="preserve"/>
        <w:tab/>
        <w:t xml:space="preserve">•</w:t>
        <w:tab/>
        <w:t xml:space="preserve">Custom Market Insights. (2025). Global Live Music Market Size, Trends, Share 2025–2034. Retrieved from https://www.custommarketinsights.com/report/live-music-market/</w:t>
      </w:r>
    </w:p>
    <w:p>
      <w:pPr>
        <w:ind w:left="720"/>
        <w:spacing w:before="60" w:after="60"/>
      </w:pPr>
      <w:r>
        <w:rPr>
          <w:rFonts w:ascii="Arial" w:hAnsi="Arial" w:cs="Arial"/>
          <w:sz w:val="18"/>
          <w:sz-cs w:val="18"/>
          <w:color w:val="555555"/>
        </w:rPr>
        <w:t xml:space="preserve"/>
        <w:tab/>
        <w:t xml:space="preserve">•</w:t>
        <w:tab/>
        <w:t xml:space="preserve">Dave, D. (2022). Spotify Charts [Dataset]. Kaggle. https://www.kaggle.com/datasets/dhruvildave/spotify-charts</w:t>
      </w:r>
    </w:p>
    <w:p>
      <w:pPr>
        <w:ind w:left="720"/>
        <w:spacing w:before="60" w:after="60"/>
      </w:pPr>
      <w:r>
        <w:rPr>
          <w:rFonts w:ascii="Arial" w:hAnsi="Arial" w:cs="Arial"/>
          <w:sz w:val="18"/>
          <w:sz-cs w:val="18"/>
          <w:color w:val="555555"/>
        </w:rPr>
        <w:t xml:space="preserve"/>
        <w:tab/>
        <w:t xml:space="preserve">•</w:t>
        <w:tab/>
        <w:t xml:space="preserve">Goldman Sachs. (2024). Live music industry revenue worldwide from 2022 to 2030 [Graph]. Statista. https://www.statista.com/statistics/1096424/live-music-industry-revenue-worldwide/</w:t>
      </w:r>
    </w:p>
    <w:p>
      <w:pPr>
        <w:ind w:left="720"/>
        <w:spacing w:before="60" w:after="60"/>
      </w:pPr>
      <w:r>
        <w:rPr>
          <w:rFonts w:ascii="Arial" w:hAnsi="Arial" w:cs="Arial"/>
          <w:sz w:val="18"/>
          <w:sz-cs w:val="18"/>
          <w:color w:val="555555"/>
        </w:rPr>
        <w:t xml:space="preserve"/>
        <w:tab/>
        <w:t xml:space="preserve">•</w:t>
        <w:tab/>
        <w:t xml:space="preserve">IFPI. (2025). Global Music Report 2025: Global recorded music revenues grew 4.8% in 2024. Retrieved from https://www.ifpi.org/ifpi-amidst-highly-competitive-market-global-recorded-music-revenues-grew-4-8-in-2024/</w:t>
      </w:r>
    </w:p>
    <w:p>
      <w:pPr>
        <w:ind w:left="720"/>
        <w:spacing w:before="60" w:after="60"/>
      </w:pPr>
      <w:r>
        <w:rPr>
          <w:rFonts w:ascii="Arial" w:hAnsi="Arial" w:cs="Arial"/>
          <w:sz w:val="18"/>
          <w:sz-cs w:val="18"/>
          <w:color w:val="555555"/>
        </w:rPr>
        <w:t xml:space="preserve"/>
        <w:tab/>
        <w:t xml:space="preserve">•</w:t>
        <w:tab/>
        <w:t xml:space="preserve">Pollstar. (2024). 2024 Year End Analysis: Industry Remains Strong &amp; Steady, Taylor Swift &amp; Coldplay Set All-Time Touring Records. Pollstar.com.</w:t>
      </w:r>
    </w:p>
    <w:p>
      <w:pPr>
        <w:ind w:left="720"/>
        <w:spacing w:before="60" w:after="60"/>
      </w:pPr>
      <w:r>
        <w:rPr>
          <w:rFonts w:ascii="Arial" w:hAnsi="Arial" w:cs="Arial"/>
          <w:sz w:val="18"/>
          <w:sz-cs w:val="18"/>
          <w:color w:val="555555"/>
        </w:rPr>
        <w:t xml:space="preserve"/>
        <w:tab/>
        <w:t xml:space="preserve">•</w:t>
        <w:tab/>
        <w:t xml:space="preserve">Wikipedia. (2025). List of highest-grossing concert tours. Retrieved from https://en.wikipedia.org/wiki/List_of_highest-grossing_concert_tours</w:t>
      </w:r>
    </w:p>
    <w:p>
      <w:pPr>
        <w:ind w:left="720"/>
        <w:spacing w:before="60" w:after="60"/>
      </w:pPr>
      <w:r>
        <w:rPr>
          <w:rFonts w:ascii="Arial" w:hAnsi="Arial" w:cs="Arial"/>
          <w:sz w:val="18"/>
          <w:sz-cs w:val="18"/>
          <w:color w:val="555555"/>
        </w:rPr>
        <w:t xml:space="preserve"/>
        <w:tab/>
        <w:t xml:space="preserve">•</w:t>
        <w:tab/>
        <w:t xml:space="preserve">WIPO Magazine. (2025). IFPI looks at a decade of digital transformation in the music industry. Retrieved from https://www.wipo.int/en/web/wipo-magazine/articles/ifpi-looks-at-a-decade-of-digital-transformation-in-the-music-industry-73661</w:t>
      </w:r>
    </w:p>
    <w:p>
      <w:pPr>
        <w:spacing w:before="200"/>
      </w:pPr>
      <w:r>
        <w:rPr>
          <w:rFonts w:ascii="Arial" w:hAnsi="Arial" w:cs="Arial"/>
          <w:sz w:val="18"/>
          <w:sz-cs w:val="18"/>
          <w:color w:val="555555"/>
        </w:rPr>
        <w:t xml:space="preserve"/>
      </w:r>
    </w:p>
    <w:p>
      <w:pPr>
        <w:jc w:val="center"/>
        <w:spacing w:before="160"/>
      </w:pPr>
      <w:r>
        <w:rPr>
          <w:rFonts w:ascii="Arial" w:hAnsi="Arial" w:cs="Arial"/>
          <w:sz w:val="16"/>
          <w:sz-cs w:val="16"/>
          <w:i/>
          <w:color w:val="888888"/>
        </w:rPr>
        <w:t xml:space="preserve">Dataset: kaggle.com/datasets/dhruvildave/spotify-charts  •  AWS EMR + PySpark  •  Amazon S3  •  Drafted with Claude (Anthropic)</w:t>
      </w:r>
    </w:p>
    <w:sectPr>
      <w:pgSz w:w="12240" w:h="15840"/>
      <w:pgMar w:top="1260" w:right="1260" w:bottom="1260" w:left="12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