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606ca19ca01c3fc2599646c77d1ea9ebd4787e"/>
    <w:p>
      <w:pPr>
        <w:pStyle w:val="Heading1"/>
      </w:pPr>
      <w:r>
        <w:t xml:space="preserve">Bellaflor Logistics Intelligence System (BLIS)</w:t>
      </w:r>
    </w:p>
    <w:bookmarkEnd w:id="20"/>
    <w:bookmarkStart w:id="21" w:name="diccionario-de-datos-v1"/>
    <w:p>
      <w:pPr>
        <w:pStyle w:val="Heading1"/>
      </w:pPr>
      <w:r>
        <w:t xml:space="preserve">Diccionario de Datos V1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Base de Datos:</w:t>
      </w:r>
      <w:r>
        <w:t xml:space="preserve"> </w:t>
      </w:r>
      <w:r>
        <w:t xml:space="preserve">PostgreSQL (Supabase)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1"/>
    <w:bookmarkStart w:id="23" w:name="convenciones-generales"/>
    <w:p>
      <w:pPr>
        <w:pStyle w:val="Heading1"/>
      </w:pPr>
      <w:r>
        <w:t xml:space="preserve">Convenciones Generales</w:t>
      </w:r>
    </w:p>
    <w:bookmarkStart w:id="22" w:name="campos-estándar"/>
    <w:p>
      <w:pPr>
        <w:pStyle w:val="Heading2"/>
      </w:pPr>
      <w:r>
        <w:t xml:space="preserve">Campos Estándar</w:t>
      </w:r>
    </w:p>
    <w:p>
      <w:pPr>
        <w:pStyle w:val="FirstParagraph"/>
      </w:pPr>
      <w:r>
        <w:t xml:space="preserve">Todas las tablas maestras deberán incluir: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roles"/>
    <w:p>
      <w:pPr>
        <w:pStyle w:val="Heading1"/>
      </w:pPr>
      <w:r>
        <w:t xml:space="preserve">1. ROLES</w:t>
      </w:r>
    </w:p>
    <w:bookmarkStart w:id="24" w:name="tabla-roles"/>
    <w:p>
      <w:pPr>
        <w:pStyle w:val="Heading2"/>
      </w:pPr>
      <w:r>
        <w:t xml:space="preserve">Tabla: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bookmarkEnd w:id="24"/>
    <w:bookmarkStart w:id="25" w:name="valores-iniciales"/>
    <w:p>
      <w:pPr>
        <w:pStyle w:val="Heading2"/>
      </w:pPr>
      <w:r>
        <w:t xml:space="preserve">Valores Iniciales</w:t>
      </w:r>
    </w:p>
    <w:p>
      <w:pPr>
        <w:pStyle w:val="Compact"/>
        <w:numPr>
          <w:ilvl w:val="0"/>
          <w:numId w:val="1001"/>
        </w:numPr>
      </w:pPr>
      <w:r>
        <w:t xml:space="preserve">Administrator</w:t>
      </w:r>
    </w:p>
    <w:p>
      <w:pPr>
        <w:pStyle w:val="Compact"/>
        <w:numPr>
          <w:ilvl w:val="0"/>
          <w:numId w:val="1001"/>
        </w:numPr>
      </w:pPr>
      <w:r>
        <w:t xml:space="preserve">Management</w:t>
      </w:r>
    </w:p>
    <w:p>
      <w:pPr>
        <w:pStyle w:val="Compact"/>
        <w:numPr>
          <w:ilvl w:val="0"/>
          <w:numId w:val="1001"/>
        </w:numPr>
      </w:pPr>
      <w:r>
        <w:t xml:space="preserve">ReadOnly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users"/>
    <w:p>
      <w:pPr>
        <w:pStyle w:val="Heading1"/>
      </w:pPr>
      <w:r>
        <w:t xml:space="preserve">2. USERS</w:t>
      </w:r>
    </w:p>
    <w:bookmarkStart w:id="27" w:name="tabla-users"/>
    <w:p>
      <w:pPr>
        <w:pStyle w:val="Heading2"/>
      </w:pPr>
      <w:r>
        <w:t xml:space="preserve">Tabla: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customers"/>
    <w:p>
      <w:pPr>
        <w:pStyle w:val="Heading1"/>
      </w:pPr>
      <w:r>
        <w:t xml:space="preserve">3. CUSTOMERS</w:t>
      </w:r>
    </w:p>
    <w:bookmarkStart w:id="29" w:name="tabla-customers"/>
    <w:p>
      <w:pPr>
        <w:pStyle w:val="Heading2"/>
      </w:pPr>
      <w:r>
        <w:t xml:space="preserve">Tabla: 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distribution_centers"/>
    <w:p>
      <w:pPr>
        <w:pStyle w:val="Heading1"/>
      </w:pPr>
      <w:r>
        <w:t xml:space="preserve">4. DISTRIBUTION_CENTERS</w:t>
      </w:r>
    </w:p>
    <w:bookmarkStart w:id="31" w:name="tabla-distribution_centers"/>
    <w:p>
      <w:pPr>
        <w:pStyle w:val="Heading2"/>
      </w:pPr>
      <w:r>
        <w:t xml:space="preserve">Tabla: distribution_centers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providers"/>
    <w:p>
      <w:pPr>
        <w:pStyle w:val="Heading1"/>
      </w:pPr>
      <w:r>
        <w:t xml:space="preserve">5. PROVIDERS</w:t>
      </w:r>
    </w:p>
    <w:bookmarkStart w:id="33" w:name="tabla-providers"/>
    <w:p>
      <w:pPr>
        <w:pStyle w:val="Heading2"/>
      </w:pPr>
      <w:r>
        <w:t xml:space="preserve">Tabla: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provider_services"/>
    <w:p>
      <w:pPr>
        <w:pStyle w:val="Heading1"/>
      </w:pPr>
      <w:r>
        <w:t xml:space="preserve">6. PROVIDER_SERVICES</w:t>
      </w:r>
    </w:p>
    <w:bookmarkStart w:id="35" w:name="tabla-provider_services"/>
    <w:p>
      <w:pPr>
        <w:pStyle w:val="Heading2"/>
      </w:pPr>
      <w:r>
        <w:t xml:space="preserve">Tabla: provider_services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</w:tbl>
    <w:bookmarkEnd w:id="35"/>
    <w:bookmarkStart w:id="36" w:name="valores-permitidos"/>
    <w:p>
      <w:pPr>
        <w:pStyle w:val="Heading2"/>
      </w:pPr>
      <w:r>
        <w:t xml:space="preserve">Valores Permitidos</w:t>
      </w:r>
    </w:p>
    <w:p>
      <w:pPr>
        <w:pStyle w:val="Compact"/>
        <w:numPr>
          <w:ilvl w:val="0"/>
          <w:numId w:val="1002"/>
        </w:numPr>
      </w:pPr>
      <w:r>
        <w:t xml:space="preserve">AIR_FREIGHT</w:t>
      </w:r>
    </w:p>
    <w:p>
      <w:pPr>
        <w:pStyle w:val="Compact"/>
        <w:numPr>
          <w:ilvl w:val="0"/>
          <w:numId w:val="1002"/>
        </w:numPr>
      </w:pPr>
      <w:r>
        <w:t xml:space="preserve">GROUND_FREIGHT</w:t>
      </w:r>
    </w:p>
    <w:p>
      <w:pPr>
        <w:pStyle w:val="Compact"/>
        <w:numPr>
          <w:ilvl w:val="0"/>
          <w:numId w:val="1002"/>
        </w:numPr>
      </w:pPr>
      <w:r>
        <w:t xml:space="preserve">CUSTOMS</w:t>
      </w:r>
    </w:p>
    <w:p>
      <w:pPr>
        <w:pStyle w:val="Compact"/>
        <w:numPr>
          <w:ilvl w:val="0"/>
          <w:numId w:val="1002"/>
        </w:numPr>
      </w:pPr>
      <w:r>
        <w:t xml:space="preserve">WAREHOUSE</w:t>
      </w:r>
    </w:p>
    <w:p>
      <w:pPr>
        <w:pStyle w:val="Compact"/>
        <w:numPr>
          <w:ilvl w:val="0"/>
          <w:numId w:val="1002"/>
        </w:numPr>
      </w:pPr>
      <w:r>
        <w:t xml:space="preserve">DELIVERY</w:t>
      </w:r>
    </w:p>
    <w:p>
      <w:pPr>
        <w:pStyle w:val="Compact"/>
        <w:numPr>
          <w:ilvl w:val="0"/>
          <w:numId w:val="1002"/>
        </w:numPr>
      </w:pPr>
      <w:r>
        <w:t xml:space="preserve">REPACKING</w:t>
      </w:r>
    </w:p>
    <w:p>
      <w:pPr>
        <w:pStyle w:val="Compact"/>
        <w:numPr>
          <w:ilvl w:val="0"/>
          <w:numId w:val="1002"/>
        </w:numPr>
      </w:pPr>
      <w:r>
        <w:t xml:space="preserve">COLD_STORAGE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untries"/>
    <w:p>
      <w:pPr>
        <w:pStyle w:val="Heading1"/>
      </w:pPr>
      <w:r>
        <w:t xml:space="preserve">7. COUNTRIES</w:t>
      </w:r>
    </w:p>
    <w:bookmarkStart w:id="38" w:name="tabla-countries"/>
    <w:p>
      <w:pPr>
        <w:pStyle w:val="Heading2"/>
      </w:pPr>
      <w:r>
        <w:t xml:space="preserve">Tabla: countries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airports"/>
    <w:p>
      <w:pPr>
        <w:pStyle w:val="Heading1"/>
      </w:pPr>
      <w:r>
        <w:t xml:space="preserve">8. AIRPORTS</w:t>
      </w:r>
    </w:p>
    <w:bookmarkStart w:id="40" w:name="tabla-airports"/>
    <w:p>
      <w:pPr>
        <w:pStyle w:val="Heading2"/>
      </w:pPr>
      <w:r>
        <w:t xml:space="preserve">Tabla: airports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iata_code</w:t>
            </w:r>
          </w:p>
        </w:tc>
        <w:tc>
          <w:tcPr/>
          <w:p>
            <w:pPr>
              <w:pStyle w:val="Compact"/>
            </w:pPr>
            <w:r>
              <w:t xml:space="preserve">VARCHAR(5)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airlines"/>
    <w:p>
      <w:pPr>
        <w:pStyle w:val="Heading1"/>
      </w:pPr>
      <w:r>
        <w:t xml:space="preserve">9. AIRLINES</w:t>
      </w:r>
    </w:p>
    <w:bookmarkStart w:id="42" w:name="tabla-airlines"/>
    <w:p>
      <w:pPr>
        <w:pStyle w:val="Heading2"/>
      </w:pPr>
      <w:r>
        <w:t xml:space="preserve">Tabla: airlines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airline_code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airline_name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product_categories"/>
    <w:p>
      <w:pPr>
        <w:pStyle w:val="Heading1"/>
      </w:pPr>
      <w:r>
        <w:t xml:space="preserve">10. PRODUCT_CATEGORIES</w:t>
      </w:r>
    </w:p>
    <w:bookmarkStart w:id="44" w:name="tabla-product_categories"/>
    <w:p>
      <w:pPr>
        <w:pStyle w:val="Heading2"/>
      </w:pPr>
      <w:r>
        <w:t xml:space="preserve">Tabla: product_categories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</w:tbl>
    <w:bookmarkEnd w:id="44"/>
    <w:bookmarkStart w:id="45" w:name="ejemplos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3"/>
        </w:numPr>
      </w:pPr>
      <w:r>
        <w:t xml:space="preserve">Roses</w:t>
      </w:r>
    </w:p>
    <w:p>
      <w:pPr>
        <w:pStyle w:val="Compact"/>
        <w:numPr>
          <w:ilvl w:val="0"/>
          <w:numId w:val="1003"/>
        </w:numPr>
      </w:pPr>
      <w:r>
        <w:t xml:space="preserve">Carnations</w:t>
      </w:r>
    </w:p>
    <w:p>
      <w:pPr>
        <w:pStyle w:val="Compact"/>
        <w:numPr>
          <w:ilvl w:val="0"/>
          <w:numId w:val="1003"/>
        </w:numPr>
      </w:pPr>
      <w:r>
        <w:t xml:space="preserve">Gypsophila</w:t>
      </w:r>
    </w:p>
    <w:p>
      <w:pPr>
        <w:pStyle w:val="Compact"/>
        <w:numPr>
          <w:ilvl w:val="0"/>
          <w:numId w:val="1003"/>
        </w:numPr>
      </w:pPr>
      <w:r>
        <w:t xml:space="preserve">Amaranthus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varieties"/>
    <w:p>
      <w:pPr>
        <w:pStyle w:val="Heading1"/>
      </w:pPr>
      <w:r>
        <w:t xml:space="preserve">11. VARIETIES</w:t>
      </w:r>
    </w:p>
    <w:bookmarkStart w:id="47" w:name="tabla-varieties"/>
    <w:p>
      <w:pPr>
        <w:pStyle w:val="Heading2"/>
      </w:pPr>
      <w:r>
        <w:t xml:space="preserve">Tabla: varieties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variety_name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product_sizes"/>
    <w:p>
      <w:pPr>
        <w:pStyle w:val="Heading1"/>
      </w:pPr>
      <w:r>
        <w:t xml:space="preserve">12. PRODUCT_SIZES</w:t>
      </w:r>
    </w:p>
    <w:bookmarkStart w:id="49" w:name="tabla-product_sizes"/>
    <w:p>
      <w:pPr>
        <w:pStyle w:val="Heading2"/>
      </w:pPr>
      <w:r>
        <w:t xml:space="preserve">Tabla: product_sizes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variety_id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size_cm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2" w:name="box_types"/>
    <w:p>
      <w:pPr>
        <w:pStyle w:val="Heading1"/>
      </w:pPr>
      <w:r>
        <w:t xml:space="preserve">13. BOX_TYPES</w:t>
      </w:r>
    </w:p>
    <w:bookmarkStart w:id="51" w:name="tabla-box_types"/>
    <w:p>
      <w:pPr>
        <w:pStyle w:val="Heading2"/>
      </w:pPr>
      <w:r>
        <w:t xml:space="preserve">Tabla: box_types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length_in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width_in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height_in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calculated_cube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packaging_configs"/>
    <w:p>
      <w:pPr>
        <w:pStyle w:val="Heading1"/>
      </w:pPr>
      <w:r>
        <w:t xml:space="preserve">14. PACKAGING_CONFIGS</w:t>
      </w:r>
    </w:p>
    <w:bookmarkStart w:id="53" w:name="tabla-packaging_configs"/>
    <w:p>
      <w:pPr>
        <w:pStyle w:val="Heading2"/>
      </w:pPr>
      <w:r>
        <w:t xml:space="preserve">Tabla: packaging_configs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product_size_id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box_type_id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stems_per_bunch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bunches_per_box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stems_per_box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real_weight_kg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volumetric_weight_kg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invoice_cube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routes"/>
    <w:p>
      <w:pPr>
        <w:pStyle w:val="Heading1"/>
      </w:pPr>
      <w:r>
        <w:t xml:space="preserve">15. ROUTES</w:t>
      </w:r>
    </w:p>
    <w:bookmarkStart w:id="55" w:name="tabla-routes"/>
    <w:p>
      <w:pPr>
        <w:pStyle w:val="Heading2"/>
      </w:pPr>
      <w:r>
        <w:t xml:space="preserve">Tabla: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origin_airport_id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destination_airport_id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freight_rates"/>
    <w:p>
      <w:pPr>
        <w:pStyle w:val="Heading1"/>
      </w:pPr>
      <w:r>
        <w:t xml:space="preserve">16. FREIGHT_RATES</w:t>
      </w:r>
    </w:p>
    <w:bookmarkStart w:id="57" w:name="tabla-freight_rates"/>
    <w:p>
      <w:pPr>
        <w:pStyle w:val="Heading2"/>
      </w:pPr>
      <w:r>
        <w:t xml:space="preserve">Tabla: freight_rates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airline_id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rate_per_kg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fuel_charge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security_charge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awb_charge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ground_rates"/>
    <w:p>
      <w:pPr>
        <w:pStyle w:val="Heading1"/>
      </w:pPr>
      <w:r>
        <w:t xml:space="preserve">17. GROUND_RATES</w:t>
      </w:r>
    </w:p>
    <w:bookmarkStart w:id="59" w:name="tabla-ground_rates"/>
    <w:p>
      <w:pPr>
        <w:pStyle w:val="Heading2"/>
      </w:pPr>
      <w:r>
        <w:t xml:space="preserve">Tabla: ground_rates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distribution_center_id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rate_value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fuel_percent</w:t>
            </w:r>
          </w:p>
        </w:tc>
        <w:tc>
          <w:tcPr/>
          <w:p>
            <w:pPr>
              <w:pStyle w:val="Compact"/>
            </w:pPr>
            <w:r>
              <w:t xml:space="preserve">NUMERIC(8,4)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59"/>
    <w:bookmarkStart w:id="60" w:name="rate-types"/>
    <w:p>
      <w:pPr>
        <w:pStyle w:val="Heading2"/>
      </w:pPr>
      <w:r>
        <w:t xml:space="preserve">Rate Types</w:t>
      </w:r>
    </w:p>
    <w:p>
      <w:pPr>
        <w:pStyle w:val="Compact"/>
        <w:numPr>
          <w:ilvl w:val="0"/>
          <w:numId w:val="1004"/>
        </w:numPr>
      </w:pPr>
      <w:r>
        <w:t xml:space="preserve">CUBE</w:t>
      </w:r>
    </w:p>
    <w:p>
      <w:pPr>
        <w:pStyle w:val="Compact"/>
        <w:numPr>
          <w:ilvl w:val="0"/>
          <w:numId w:val="1004"/>
        </w:numPr>
      </w:pPr>
      <w:r>
        <w:t xml:space="preserve">BOX</w:t>
      </w:r>
    </w:p>
    <w:p>
      <w:pPr>
        <w:pStyle w:val="Compact"/>
        <w:numPr>
          <w:ilvl w:val="0"/>
          <w:numId w:val="1004"/>
        </w:numPr>
      </w:pPr>
      <w:r>
        <w:t xml:space="preserve">PALLET</w:t>
      </w:r>
    </w:p>
    <w:p>
      <w:pPr>
        <w:pStyle w:val="Compact"/>
        <w:numPr>
          <w:ilvl w:val="0"/>
          <w:numId w:val="1004"/>
        </w:numPr>
      </w:pPr>
      <w:r>
        <w:t xml:space="preserve">FIXED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egulatory_costs"/>
    <w:p>
      <w:pPr>
        <w:pStyle w:val="Heading1"/>
      </w:pPr>
      <w:r>
        <w:t xml:space="preserve">18. REGULATORY_COSTS</w:t>
      </w:r>
    </w:p>
    <w:bookmarkStart w:id="62" w:name="tabla-regulatory_costs"/>
    <w:p>
      <w:pPr>
        <w:pStyle w:val="Heading2"/>
      </w:pPr>
      <w:r>
        <w:t xml:space="preserve">Tabla: regulatory_costs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cost_value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62"/>
    <w:bookmarkStart w:id="63" w:name="cost-types"/>
    <w:p>
      <w:pPr>
        <w:pStyle w:val="Heading2"/>
      </w:pPr>
      <w:r>
        <w:t xml:space="preserve">Cost Types</w:t>
      </w:r>
    </w:p>
    <w:p>
      <w:pPr>
        <w:pStyle w:val="Compact"/>
        <w:numPr>
          <w:ilvl w:val="0"/>
          <w:numId w:val="1005"/>
        </w:numPr>
      </w:pPr>
      <w:r>
        <w:t xml:space="preserve">FIXED</w:t>
      </w:r>
    </w:p>
    <w:p>
      <w:pPr>
        <w:pStyle w:val="Compact"/>
        <w:numPr>
          <w:ilvl w:val="0"/>
          <w:numId w:val="1005"/>
        </w:numPr>
      </w:pPr>
      <w:r>
        <w:t xml:space="preserve">PER_STEM</w:t>
      </w:r>
    </w:p>
    <w:p>
      <w:pPr>
        <w:pStyle w:val="Compact"/>
        <w:numPr>
          <w:ilvl w:val="0"/>
          <w:numId w:val="1005"/>
        </w:numPr>
      </w:pPr>
      <w:r>
        <w:t xml:space="preserve">PER_BOX</w:t>
      </w:r>
    </w:p>
    <w:p>
      <w:pPr>
        <w:pStyle w:val="Compact"/>
        <w:numPr>
          <w:ilvl w:val="0"/>
          <w:numId w:val="1005"/>
        </w:numPr>
      </w:pPr>
      <w:r>
        <w:t xml:space="preserve">PER_KG</w:t>
      </w:r>
    </w:p>
    <w:p>
      <w:pPr>
        <w:pStyle w:val="Compact"/>
        <w:numPr>
          <w:ilvl w:val="0"/>
          <w:numId w:val="1005"/>
        </w:numPr>
      </w:pPr>
      <w:r>
        <w:t xml:space="preserve">PERCENTAGE</w:t>
      </w:r>
    </w:p>
    <w:bookmarkEnd w:id="63"/>
    <w:bookmarkStart w:id="64" w:name="ejemplos-1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6"/>
        </w:numPr>
      </w:pPr>
      <w:r>
        <w:t xml:space="preserve">USDA</w:t>
      </w:r>
    </w:p>
    <w:p>
      <w:pPr>
        <w:pStyle w:val="Compact"/>
        <w:numPr>
          <w:ilvl w:val="0"/>
          <w:numId w:val="1006"/>
        </w:numPr>
      </w:pPr>
      <w:r>
        <w:t xml:space="preserve">DUTY</w:t>
      </w:r>
    </w:p>
    <w:p>
      <w:pPr>
        <w:pStyle w:val="Compact"/>
        <w:numPr>
          <w:ilvl w:val="0"/>
          <w:numId w:val="1006"/>
        </w:numPr>
      </w:pPr>
      <w:r>
        <w:t xml:space="preserve">VAT</w:t>
      </w:r>
    </w:p>
    <w:p>
      <w:pPr>
        <w:pStyle w:val="Compact"/>
        <w:numPr>
          <w:ilvl w:val="0"/>
          <w:numId w:val="1006"/>
        </w:numPr>
      </w:pPr>
      <w:r>
        <w:t xml:space="preserve">MPF</w:t>
      </w:r>
    </w:p>
    <w:p>
      <w:pPr>
        <w:pStyle w:val="Compact"/>
        <w:numPr>
          <w:ilvl w:val="0"/>
          <w:numId w:val="1006"/>
        </w:numPr>
      </w:pPr>
      <w:r>
        <w:t xml:space="preserve">CUSTOMS</w:t>
      </w:r>
    </w:p>
    <w:p>
      <w:pPr>
        <w:pStyle w:val="Compact"/>
        <w:numPr>
          <w:ilvl w:val="0"/>
          <w:numId w:val="1006"/>
        </w:numPr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INSPECTION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transit_times"/>
    <w:p>
      <w:pPr>
        <w:pStyle w:val="Heading1"/>
      </w:pPr>
      <w:r>
        <w:t xml:space="preserve">19. TRANSIT_TIMES</w:t>
      </w:r>
    </w:p>
    <w:bookmarkStart w:id="66" w:name="tabla-transit_times"/>
    <w:p>
      <w:pPr>
        <w:pStyle w:val="Heading2"/>
      </w:pPr>
      <w:r>
        <w:t xml:space="preserve">Tabla: transit_times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9" w:name="quotes"/>
    <w:p>
      <w:pPr>
        <w:pStyle w:val="Heading1"/>
      </w:pPr>
      <w:r>
        <w:t xml:space="preserve">20. QUOTES</w:t>
      </w:r>
    </w:p>
    <w:bookmarkStart w:id="68" w:name="tabla-quotes"/>
    <w:p>
      <w:pPr>
        <w:pStyle w:val="Heading2"/>
      </w:pPr>
      <w:r>
        <w:t xml:space="preserve">Tabla: quotes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distribution_center_id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incoterm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total_stems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total_boxes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total_kg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total_cube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total_pallets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grand_total</w:t>
            </w:r>
          </w:p>
        </w:tc>
        <w:tc>
          <w:tcPr/>
          <w:p>
            <w:pPr>
              <w:pStyle w:val="Compact"/>
            </w:pPr>
            <w:r>
              <w:t xml:space="preserve">NUMERIC(15,4)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1" w:name="quote_details"/>
    <w:p>
      <w:pPr>
        <w:pStyle w:val="Heading1"/>
      </w:pPr>
      <w:r>
        <w:t xml:space="preserve">21. QUOTE_DETAILS</w:t>
      </w:r>
    </w:p>
    <w:bookmarkStart w:id="70" w:name="tabla-quote_details"/>
    <w:p>
      <w:pPr>
        <w:pStyle w:val="Heading2"/>
      </w:pPr>
      <w:r>
        <w:t xml:space="preserve">Tabla: quote_details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variety_id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packaging_config_id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quantity_boxes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line_total</w:t>
            </w:r>
          </w:p>
        </w:tc>
        <w:tc>
          <w:tcPr/>
          <w:p>
            <w:pPr>
              <w:pStyle w:val="Compact"/>
            </w:pPr>
            <w:r>
              <w:t xml:space="preserve">NUMERIC(15,4)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claims"/>
    <w:p>
      <w:pPr>
        <w:pStyle w:val="Heading1"/>
      </w:pPr>
      <w:r>
        <w:t xml:space="preserve">22. CLAIMS</w:t>
      </w:r>
    </w:p>
    <w:bookmarkStart w:id="72" w:name="tabla-claims"/>
    <w:p>
      <w:pPr>
        <w:pStyle w:val="Heading2"/>
      </w:pPr>
      <w:r>
        <w:t xml:space="preserve">Tabla: claims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</w:tbl>
    <w:bookmarkEnd w:id="72"/>
    <w:bookmarkStart w:id="73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</w:p>
    <w:p>
      <w:pPr>
        <w:pStyle w:val="Compact"/>
        <w:numPr>
          <w:ilvl w:val="0"/>
          <w:numId w:val="1007"/>
        </w:numPr>
      </w:pPr>
      <w:r>
        <w:t xml:space="preserve">IN_PROGRESS</w:t>
      </w:r>
    </w:p>
    <w:p>
      <w:pPr>
        <w:pStyle w:val="Compact"/>
        <w:numPr>
          <w:ilvl w:val="0"/>
          <w:numId w:val="1007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eglas-de-negocio-críticas"/>
    <w:p>
      <w:pPr>
        <w:pStyle w:val="Heading1"/>
      </w:pPr>
      <w:r>
        <w:t xml:space="preserve">Reglas de Negocio Críticas</w:t>
      </w:r>
    </w:p>
    <w:p>
      <w:pPr>
        <w:numPr>
          <w:ilvl w:val="0"/>
          <w:numId w:val="1008"/>
        </w:numPr>
      </w:pPr>
      <w:r>
        <w:t xml:space="preserve">Las tarifas nunca se actualizan; se crean nuevos registros con nuevas vigencias.</w:t>
      </w:r>
    </w:p>
    <w:p>
      <w:pPr>
        <w:numPr>
          <w:ilvl w:val="0"/>
          <w:numId w:val="1008"/>
        </w:numPr>
      </w:pPr>
      <w:r>
        <w:t xml:space="preserve">Un cliente puede tener múltiples centros de distribución.</w:t>
      </w:r>
    </w:p>
    <w:p>
      <w:pPr>
        <w:numPr>
          <w:ilvl w:val="0"/>
          <w:numId w:val="1008"/>
        </w:numPr>
      </w:pPr>
      <w:r>
        <w:t xml:space="preserve">Un proveedor puede ofrecer múltiples servicios.</w:t>
      </w:r>
    </w:p>
    <w:p>
      <w:pPr>
        <w:numPr>
          <w:ilvl w:val="0"/>
          <w:numId w:val="1008"/>
        </w:numPr>
      </w:pPr>
      <w:r>
        <w:t xml:space="preserve">Una variedad puede tener múltiples medidas.</w:t>
      </w:r>
    </w:p>
    <w:p>
      <w:pPr>
        <w:numPr>
          <w:ilvl w:val="0"/>
          <w:numId w:val="1008"/>
        </w:numPr>
      </w:pPr>
      <w:r>
        <w:t xml:space="preserve">Una medida puede tener múltiples configuraciones de empaque.</w:t>
      </w:r>
    </w:p>
    <w:p>
      <w:pPr>
        <w:numPr>
          <w:ilvl w:val="0"/>
          <w:numId w:val="1008"/>
        </w:numPr>
      </w:pPr>
      <w:r>
        <w:t xml:space="preserve">Una caja puede contener múltiples variedades y medidas.</w:t>
      </w:r>
    </w:p>
    <w:p>
      <w:pPr>
        <w:numPr>
          <w:ilvl w:val="0"/>
          <w:numId w:val="1008"/>
        </w:numPr>
      </w:pPr>
      <w:r>
        <w:t xml:space="preserve">Los costos regulatorios deben poder calcularse por:</w:t>
      </w:r>
    </w:p>
    <w:p>
      <w:pPr>
        <w:pStyle w:val="Compact"/>
        <w:numPr>
          <w:ilvl w:val="1"/>
          <w:numId w:val="1009"/>
        </w:numPr>
      </w:pPr>
      <w:r>
        <w:t xml:space="preserve">Tallo</w:t>
      </w:r>
    </w:p>
    <w:p>
      <w:pPr>
        <w:pStyle w:val="Compact"/>
        <w:numPr>
          <w:ilvl w:val="1"/>
          <w:numId w:val="1009"/>
        </w:numPr>
      </w:pPr>
      <w:r>
        <w:t xml:space="preserve">Caja</w:t>
      </w:r>
    </w:p>
    <w:p>
      <w:pPr>
        <w:pStyle w:val="Compact"/>
        <w:numPr>
          <w:ilvl w:val="1"/>
          <w:numId w:val="1009"/>
        </w:numPr>
      </w:pPr>
      <w:r>
        <w:t xml:space="preserve">Kg</w:t>
      </w:r>
    </w:p>
    <w:p>
      <w:pPr>
        <w:pStyle w:val="Compact"/>
        <w:numPr>
          <w:ilvl w:val="1"/>
          <w:numId w:val="1009"/>
        </w:numPr>
      </w:pPr>
      <w:r>
        <w:t xml:space="preserve">Porcentaje</w:t>
      </w:r>
    </w:p>
    <w:p>
      <w:pPr>
        <w:pStyle w:val="Compact"/>
        <w:numPr>
          <w:ilvl w:val="1"/>
          <w:numId w:val="1009"/>
        </w:numPr>
      </w:pPr>
      <w:r>
        <w:t xml:space="preserve">Valor fijo</w:t>
      </w:r>
    </w:p>
    <w:p>
      <w:pPr>
        <w:numPr>
          <w:ilvl w:val="0"/>
          <w:numId w:val="1008"/>
        </w:numPr>
      </w:pPr>
      <w:r>
        <w:t xml:space="preserve">Todos los costos deben poder visualizarse en:</w:t>
      </w:r>
    </w:p>
    <w:p>
      <w:pPr>
        <w:pStyle w:val="Compact"/>
        <w:numPr>
          <w:ilvl w:val="1"/>
          <w:numId w:val="1010"/>
        </w:numPr>
      </w:pPr>
      <w:r>
        <w:t xml:space="preserve">USD/Tallo</w:t>
      </w:r>
    </w:p>
    <w:p>
      <w:pPr>
        <w:pStyle w:val="Compact"/>
        <w:numPr>
          <w:ilvl w:val="1"/>
          <w:numId w:val="1010"/>
        </w:numPr>
      </w:pPr>
      <w:r>
        <w:t xml:space="preserve">USD/Caja</w:t>
      </w:r>
    </w:p>
    <w:p>
      <w:pPr>
        <w:pStyle w:val="Compact"/>
        <w:numPr>
          <w:ilvl w:val="1"/>
          <w:numId w:val="1010"/>
        </w:numPr>
      </w:pPr>
      <w:r>
        <w:t xml:space="preserve">USD/Kg</w:t>
      </w:r>
    </w:p>
    <w:p>
      <w:pPr>
        <w:pStyle w:val="Compact"/>
        <w:numPr>
          <w:ilvl w:val="1"/>
          <w:numId w:val="1010"/>
        </w:numPr>
      </w:pPr>
      <w:r>
        <w:t xml:space="preserve">USD/Cube</w:t>
      </w:r>
    </w:p>
    <w:p>
      <w:pPr>
        <w:pStyle w:val="Compact"/>
        <w:numPr>
          <w:ilvl w:val="1"/>
          <w:numId w:val="1010"/>
        </w:numPr>
      </w:pPr>
      <w:r>
        <w:t xml:space="preserve">USD/Pallet</w:t>
      </w:r>
    </w:p>
    <w:p>
      <w:pPr>
        <w:numPr>
          <w:ilvl w:val="0"/>
          <w:numId w:val="1008"/>
        </w:numPr>
      </w:pPr>
      <w:r>
        <w:t xml:space="preserve">Todas las tarifas deben manejar vigencias.</w:t>
      </w:r>
    </w:p>
    <w:p>
      <w:pPr>
        <w:numPr>
          <w:ilvl w:val="0"/>
          <w:numId w:val="1008"/>
        </w:numPr>
      </w:pPr>
      <w:r>
        <w:t xml:space="preserve">El sistema debe soportar USD y EUR desde la V1.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diseño SQL y construcción de la base de datos en Supabase.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2026-06-14T03:44:27Z</dcterms:created>
  <dcterms:modified xsi:type="dcterms:W3CDTF">2026-06-14T03:44:27Z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