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6141D" w14:textId="70EA445F" w:rsidR="00520B7E" w:rsidRDefault="00520B7E" w:rsidP="00520B7E">
      <w:pPr>
        <w:spacing w:after="0"/>
      </w:pPr>
      <w:r>
        <w:t>Product Document</w:t>
      </w:r>
      <w:r>
        <w:br/>
      </w:r>
      <w:r>
        <w:br/>
      </w:r>
      <w:r w:rsidRPr="00520B7E">
        <w:rPr>
          <w:b/>
          <w:bCs/>
          <w:u w:val="single"/>
        </w:rPr>
        <w:t>Global Stocks</w:t>
      </w:r>
    </w:p>
    <w:p w14:paraId="1BBF4284" w14:textId="1AA01799" w:rsidR="000C7AA2" w:rsidRDefault="00520B7E" w:rsidP="00520B7E">
      <w:pPr>
        <w:spacing w:after="0"/>
      </w:pPr>
      <w:r>
        <w:t xml:space="preserve">VWRP: Vanguard FTSE All-World UCITS ETF. Accumulating. </w:t>
      </w:r>
      <w:r>
        <w:br/>
        <w:t>3,794 global stocks</w:t>
      </w:r>
    </w:p>
    <w:p w14:paraId="192AD3E6" w14:textId="46DCCAB9" w:rsidR="00520B7E" w:rsidRDefault="00520B7E" w:rsidP="00520B7E">
      <w:pPr>
        <w:spacing w:after="0"/>
      </w:pPr>
      <w:r>
        <w:t xml:space="preserve">Weighting: 65.2% US, 14.6% Europe, 10.1% Emerging Markets, 9.7% Pacific, 03% Middle East, 02% Other. </w:t>
      </w:r>
    </w:p>
    <w:p w14:paraId="552724AD" w14:textId="77777777" w:rsidR="00520B7E" w:rsidRDefault="00520B7E" w:rsidP="00520B7E">
      <w:pPr>
        <w:spacing w:after="0"/>
      </w:pPr>
      <w:r>
        <w:t>0.19% Ongoing Charge.</w:t>
      </w:r>
      <w:r>
        <w:br/>
      </w:r>
    </w:p>
    <w:p w14:paraId="577CB1A7" w14:textId="720F847D" w:rsidR="00520B7E" w:rsidRDefault="00520B7E" w:rsidP="00520B7E">
      <w:pPr>
        <w:spacing w:after="0"/>
      </w:pPr>
      <w:r w:rsidRPr="00520B7E">
        <w:rPr>
          <w:b/>
          <w:bCs/>
          <w:u w:val="single"/>
        </w:rPr>
        <w:t>US Stocks</w:t>
      </w:r>
      <w:r>
        <w:rPr>
          <w:b/>
          <w:bCs/>
          <w:u w:val="single"/>
        </w:rPr>
        <w:t xml:space="preserve"> (S&amp;P 500)</w:t>
      </w:r>
      <w:r>
        <w:br/>
        <w:t xml:space="preserve">VUAG: Vanguard S&amp;P 500 UCITS ETF. Accumulating. </w:t>
      </w:r>
    </w:p>
    <w:p w14:paraId="0A2C07DF" w14:textId="70221B2D" w:rsidR="00520B7E" w:rsidRDefault="00520B7E" w:rsidP="00520B7E">
      <w:pPr>
        <w:spacing w:after="0"/>
      </w:pPr>
      <w:r>
        <w:t>503 stocks.</w:t>
      </w:r>
      <w:r>
        <w:br/>
        <w:t>Weighting: 100% US</w:t>
      </w:r>
      <w:r>
        <w:br/>
        <w:t>0.07% Ongoing Charge</w:t>
      </w:r>
      <w:r>
        <w:br/>
      </w:r>
      <w:r>
        <w:br/>
      </w:r>
      <w:r w:rsidRPr="00520B7E">
        <w:rPr>
          <w:b/>
          <w:bCs/>
          <w:u w:val="single"/>
        </w:rPr>
        <w:t>US Tech Stocks</w:t>
      </w:r>
    </w:p>
    <w:p w14:paraId="24183E1A" w14:textId="77777777" w:rsidR="00520B7E" w:rsidRDefault="00520B7E" w:rsidP="00520B7E">
      <w:pPr>
        <w:spacing w:after="0"/>
      </w:pPr>
      <w:r>
        <w:t xml:space="preserve">EQQQ (Distributing) / EQAC (Accumulating): </w:t>
      </w:r>
      <w:r w:rsidRPr="00520B7E">
        <w:t>Invesco EQQQ Nasdaq-100 UCITS ETF</w:t>
      </w:r>
      <w:r>
        <w:t xml:space="preserve">. </w:t>
      </w:r>
    </w:p>
    <w:p w14:paraId="6FC29333" w14:textId="29F4817C" w:rsidR="00520B7E" w:rsidRDefault="00520B7E" w:rsidP="00520B7E">
      <w:pPr>
        <w:spacing w:after="0"/>
      </w:pPr>
      <w:r w:rsidRPr="00520B7E">
        <w:t>The Invesco EQQQ</w:t>
      </w:r>
      <w:r>
        <w:t>/EQAC</w:t>
      </w:r>
      <w:r w:rsidRPr="00520B7E">
        <w:t xml:space="preserve"> NASDAQ-100 UCITS ETF aims to provide the net total return performance of the NASDAQ-100 Index (the "Reference Index"), less the impact of fees. The fund distributes dividends on a quarterly basis.</w:t>
      </w:r>
      <w:r>
        <w:br/>
        <w:t>102 Stocks</w:t>
      </w:r>
    </w:p>
    <w:p w14:paraId="1066F35C" w14:textId="4B83168C" w:rsidR="00520B7E" w:rsidRPr="00520B7E" w:rsidRDefault="00520B7E" w:rsidP="00520B7E">
      <w:pPr>
        <w:spacing w:after="0"/>
      </w:pPr>
      <w:r>
        <w:t>Weighting: 96.3% US</w:t>
      </w:r>
      <w:r>
        <w:br/>
        <w:t>Ongoing charges: 0.3%</w:t>
      </w:r>
    </w:p>
    <w:p w14:paraId="02FC2EFA" w14:textId="63E4800A" w:rsidR="00520B7E" w:rsidRDefault="00520B7E" w:rsidP="00520B7E">
      <w:pPr>
        <w:spacing w:after="0"/>
      </w:pPr>
    </w:p>
    <w:p w14:paraId="48D69A83" w14:textId="126BB769" w:rsidR="00520B7E" w:rsidRPr="00520B7E" w:rsidRDefault="00520B7E" w:rsidP="00520B7E">
      <w:pPr>
        <w:spacing w:after="0"/>
        <w:rPr>
          <w:b/>
          <w:bCs/>
          <w:u w:val="single"/>
        </w:rPr>
      </w:pPr>
      <w:r w:rsidRPr="00520B7E">
        <w:rPr>
          <w:b/>
          <w:bCs/>
          <w:u w:val="single"/>
        </w:rPr>
        <w:t>Copper</w:t>
      </w:r>
    </w:p>
    <w:p w14:paraId="34DC51B9" w14:textId="7C6966D2" w:rsidR="00520B7E" w:rsidRDefault="00520B7E" w:rsidP="00520B7E">
      <w:pPr>
        <w:spacing w:after="0"/>
      </w:pPr>
      <w:r>
        <w:t>COPA (USD) / COPB (GBP): WisdomTree Copper</w:t>
      </w:r>
    </w:p>
    <w:p w14:paraId="6E39DFF1" w14:textId="1027C8A3" w:rsidR="00520B7E" w:rsidRDefault="00520B7E" w:rsidP="00520B7E">
      <w:pPr>
        <w:spacing w:after="0"/>
        <w:rPr>
          <w:b/>
          <w:bCs/>
        </w:rPr>
      </w:pPr>
      <w:r w:rsidRPr="00520B7E">
        <w:t xml:space="preserve">WisdomTree Copper is a fully collateralised, UCITS eligible Exchange Traded Commodity (ETC) designed to provide investors with a total return exposure to </w:t>
      </w:r>
      <w:proofErr w:type="gramStart"/>
      <w:r w:rsidRPr="00520B7E">
        <w:t>Copper</w:t>
      </w:r>
      <w:proofErr w:type="gramEnd"/>
      <w:r w:rsidRPr="00520B7E">
        <w:t xml:space="preserve"> futures contracts</w:t>
      </w:r>
      <w:r>
        <w:t>.</w:t>
      </w:r>
      <w:r>
        <w:br/>
        <w:t>Management Fee: 0.49%</w:t>
      </w:r>
      <w:r>
        <w:br/>
        <w:t>Daily Swap Fee: 0.01233%</w:t>
      </w:r>
      <w:r>
        <w:br/>
      </w:r>
      <w:r>
        <w:br/>
        <w:t>COPX: Global X Copper Miners UCITS ETF</w:t>
      </w:r>
      <w:r>
        <w:br/>
      </w:r>
      <w:r w:rsidRPr="00520B7E">
        <w:t>The Global X Copper Miners UCITS ETF (COPX LN) provides investors access to a broad range of copper mining companies.</w:t>
      </w:r>
      <w:r>
        <w:br/>
        <w:t>Ongoing Charges: 055%</w:t>
      </w:r>
      <w:r>
        <w:br/>
      </w:r>
      <w:r>
        <w:br/>
      </w:r>
      <w:r w:rsidRPr="00520B7E">
        <w:rPr>
          <w:b/>
          <w:bCs/>
          <w:u w:val="single"/>
        </w:rPr>
        <w:t>Platinum</w:t>
      </w:r>
      <w:r w:rsidRPr="00520B7E">
        <w:rPr>
          <w:b/>
          <w:bCs/>
        </w:rPr>
        <w:t xml:space="preserve"> </w:t>
      </w:r>
    </w:p>
    <w:p w14:paraId="3FAFA6D4" w14:textId="5A05EF73" w:rsidR="00520B7E" w:rsidRDefault="00520B7E" w:rsidP="00520B7E">
      <w:pPr>
        <w:spacing w:after="0"/>
      </w:pPr>
      <w:r w:rsidRPr="00520B7E">
        <w:t>PPTX</w:t>
      </w:r>
      <w:r>
        <w:t xml:space="preserve"> (GBP) / PHPT (USD): WisdomTree Physical Platinum</w:t>
      </w:r>
    </w:p>
    <w:p w14:paraId="7015F006" w14:textId="6EDA5C73" w:rsidR="00520B7E" w:rsidRDefault="00520B7E" w:rsidP="00520B7E">
      <w:pPr>
        <w:spacing w:after="0"/>
      </w:pPr>
      <w:r w:rsidRPr="00520B7E">
        <w:t>WisdomTree Physical Platinum is a UCITS Eligible Exchange Traded Commodity (ETC) designed to offer security holders a simple, cost-efficient and secure way to access Physical Platinum by providing a return equivalent to the movements in the Physical Platinum spot price less the applicable management fee.</w:t>
      </w:r>
      <w:r>
        <w:br/>
        <w:t>Management Fee: 0.49%</w:t>
      </w:r>
      <w:r>
        <w:br/>
      </w:r>
      <w:r>
        <w:br/>
        <w:t>SPLT (USD): iShares Physical Platinum ETC (BlackRock product)</w:t>
      </w:r>
    </w:p>
    <w:p w14:paraId="2E049A3B" w14:textId="7B0C95C6" w:rsidR="00520B7E" w:rsidRDefault="00520B7E" w:rsidP="00520B7E">
      <w:pPr>
        <w:spacing w:after="0"/>
        <w:rPr>
          <w:b/>
          <w:bCs/>
          <w:u w:val="single"/>
        </w:rPr>
      </w:pPr>
      <w:r w:rsidRPr="00520B7E">
        <w:t>The ETC seeks to track the return of the platinum spot price</w:t>
      </w:r>
      <w:r>
        <w:br/>
        <w:t>Total Expense Ratio: 0.2%</w:t>
      </w:r>
      <w:r>
        <w:br/>
      </w:r>
      <w:r>
        <w:lastRenderedPageBreak/>
        <w:br/>
      </w:r>
      <w:r w:rsidRPr="00520B7E">
        <w:rPr>
          <w:b/>
          <w:bCs/>
          <w:u w:val="single"/>
        </w:rPr>
        <w:t>Palladium</w:t>
      </w:r>
    </w:p>
    <w:p w14:paraId="7234F201" w14:textId="77777777" w:rsidR="00520B7E" w:rsidRPr="00520B7E" w:rsidRDefault="00520B7E" w:rsidP="00520B7E">
      <w:pPr>
        <w:spacing w:after="0"/>
        <w:rPr>
          <w:b/>
          <w:bCs/>
        </w:rPr>
      </w:pPr>
      <w:r w:rsidRPr="00520B7E">
        <w:t>PHPD</w:t>
      </w:r>
      <w:r w:rsidRPr="00520B7E">
        <w:t xml:space="preserve"> (USD)</w:t>
      </w:r>
      <w:r w:rsidRPr="00520B7E">
        <w:t>/PPDX</w:t>
      </w:r>
      <w:r w:rsidRPr="00520B7E">
        <w:t>(GBP)</w:t>
      </w:r>
      <w:r>
        <w:t xml:space="preserve">: </w:t>
      </w:r>
      <w:r w:rsidRPr="00520B7E">
        <w:t>WisdomTree Physical Palladium</w:t>
      </w:r>
    </w:p>
    <w:p w14:paraId="435876CE" w14:textId="77777777" w:rsidR="00520B7E" w:rsidRDefault="00520B7E" w:rsidP="00520B7E">
      <w:pPr>
        <w:spacing w:after="0"/>
      </w:pPr>
      <w:r w:rsidRPr="00520B7E">
        <w:t>WisdomTree Physical Palladium is a UCITS Eligible Exchange Traded Commodity (ETC) designed to offer security holders a simple, cost-efficient and secure way to access Physical Palladium by providing a return equivalent to the movements in the Physical Palladium spot price less the applicable management fee.</w:t>
      </w:r>
      <w:r>
        <w:br/>
        <w:t>Management Fee: 0.49%</w:t>
      </w:r>
      <w:r>
        <w:br/>
      </w:r>
      <w:r>
        <w:br/>
        <w:t xml:space="preserve">SPDM (USD): </w:t>
      </w:r>
      <w:r w:rsidRPr="00520B7E">
        <w:t>iShares Physical Palladium ETC</w:t>
      </w:r>
      <w:r w:rsidRPr="00520B7E">
        <w:t xml:space="preserve"> (BlackRock)</w:t>
      </w:r>
      <w:r>
        <w:br/>
      </w:r>
      <w:r w:rsidRPr="00520B7E">
        <w:t>The ETC seeks to track the return of the palladium spot price</w:t>
      </w:r>
    </w:p>
    <w:p w14:paraId="13C3C911" w14:textId="2D44A7A3" w:rsidR="00520B7E" w:rsidRDefault="00520B7E" w:rsidP="00520B7E">
      <w:pPr>
        <w:spacing w:after="0"/>
      </w:pPr>
      <w:r>
        <w:t xml:space="preserve">Total Expense </w:t>
      </w:r>
      <w:proofErr w:type="spellStart"/>
      <w:r>
        <w:t>Ration</w:t>
      </w:r>
      <w:proofErr w:type="spellEnd"/>
      <w:r>
        <w:t>: 0.2%</w:t>
      </w:r>
      <w:r>
        <w:br/>
      </w:r>
      <w:r>
        <w:br/>
      </w:r>
      <w:r w:rsidRPr="00520B7E">
        <w:rPr>
          <w:b/>
          <w:bCs/>
          <w:u w:val="single"/>
        </w:rPr>
        <w:t>Oil</w:t>
      </w:r>
    </w:p>
    <w:p w14:paraId="5DAFF277" w14:textId="785C9B6E" w:rsidR="00520B7E" w:rsidRDefault="00520B7E" w:rsidP="00520B7E">
      <w:pPr>
        <w:spacing w:after="0"/>
      </w:pPr>
      <w:r>
        <w:t xml:space="preserve">CRUD(USD)/CRUP(GBP): </w:t>
      </w:r>
      <w:r w:rsidRPr="00520B7E">
        <w:t>WisdomTree WTI Crude Oil</w:t>
      </w:r>
      <w:r>
        <w:t>.</w:t>
      </w:r>
    </w:p>
    <w:p w14:paraId="716C5920" w14:textId="0B6C045D" w:rsidR="00520B7E" w:rsidRDefault="00520B7E" w:rsidP="00520B7E">
      <w:pPr>
        <w:spacing w:after="0"/>
      </w:pPr>
      <w:r w:rsidRPr="00520B7E">
        <w:t>WisdomTree WTI Crude Oil is a fully collateralised, UCITS eligible Exchange Traded Commodity (ETC) designed to provide investors with a total return exposure to WTI Crude Oil futures contracts.</w:t>
      </w:r>
    </w:p>
    <w:p w14:paraId="72967EF5" w14:textId="4BDCC852" w:rsidR="00520B7E" w:rsidRDefault="00520B7E" w:rsidP="00520B7E">
      <w:pPr>
        <w:spacing w:after="0"/>
      </w:pPr>
      <w:r>
        <w:t>Management Fee: 0.49%</w:t>
      </w:r>
      <w:r>
        <w:br/>
        <w:t>Daily Swap Fee: 0.001233%</w:t>
      </w:r>
    </w:p>
    <w:p w14:paraId="2454228C" w14:textId="77777777" w:rsidR="00520B7E" w:rsidRDefault="00520B7E" w:rsidP="00520B7E">
      <w:pPr>
        <w:spacing w:after="0"/>
      </w:pPr>
    </w:p>
    <w:p w14:paraId="611C443E" w14:textId="77777777" w:rsidR="00520B7E" w:rsidRDefault="00520B7E" w:rsidP="00520B7E">
      <w:pPr>
        <w:spacing w:after="0"/>
      </w:pPr>
      <w:r>
        <w:t xml:space="preserve">SPOG: </w:t>
      </w:r>
      <w:r w:rsidRPr="00520B7E">
        <w:t>iShares Oil &amp; Gas Exploration &amp; Production UCITS ETF</w:t>
      </w:r>
      <w:r>
        <w:t xml:space="preserve"> (BlackRock)</w:t>
      </w:r>
    </w:p>
    <w:p w14:paraId="53D97D50" w14:textId="2011ACBB" w:rsidR="00520B7E" w:rsidRDefault="00520B7E" w:rsidP="00520B7E">
      <w:pPr>
        <w:spacing w:after="0"/>
      </w:pPr>
      <w:r w:rsidRPr="00520B7E">
        <w:t>The Fund seeks to track the performance of an index composed of global companies involved in the exploration and production of oil and gas</w:t>
      </w:r>
    </w:p>
    <w:p w14:paraId="3B378FEF" w14:textId="6C4B12DA" w:rsidR="00520B7E" w:rsidRDefault="00520B7E" w:rsidP="00520B7E">
      <w:pPr>
        <w:spacing w:after="0"/>
      </w:pPr>
      <w:r>
        <w:t>65 Stocks</w:t>
      </w:r>
    </w:p>
    <w:p w14:paraId="221FA983" w14:textId="3FC5B7DB" w:rsidR="00520B7E" w:rsidRDefault="00520B7E" w:rsidP="00520B7E">
      <w:pPr>
        <w:spacing w:after="0"/>
        <w:rPr>
          <w:b/>
          <w:bCs/>
          <w:u w:val="single"/>
        </w:rPr>
      </w:pPr>
      <w:r>
        <w:t>Total Expense Ratio: 0.55%</w:t>
      </w:r>
      <w:r>
        <w:br/>
      </w:r>
      <w:r>
        <w:br/>
      </w:r>
      <w:r w:rsidRPr="00520B7E">
        <w:rPr>
          <w:b/>
          <w:bCs/>
          <w:u w:val="single"/>
        </w:rPr>
        <w:t>Lithium &amp; Battery</w:t>
      </w:r>
    </w:p>
    <w:p w14:paraId="55E2C36C" w14:textId="63FD93CA" w:rsidR="00520B7E" w:rsidRDefault="00520B7E" w:rsidP="00520B7E">
      <w:pPr>
        <w:spacing w:after="0"/>
      </w:pPr>
      <w:r w:rsidRPr="00520B7E">
        <w:t>LITG</w:t>
      </w:r>
      <w:r>
        <w:t xml:space="preserve">: </w:t>
      </w:r>
      <w:r w:rsidRPr="00520B7E">
        <w:t>Global X ETFs Lithium &amp; Battery Tech UCITS ETF USD Acc</w:t>
      </w:r>
      <w:r>
        <w:t>umulating.</w:t>
      </w:r>
    </w:p>
    <w:p w14:paraId="492EF9E2" w14:textId="364B1CD5" w:rsidR="00520B7E" w:rsidRDefault="00520B7E" w:rsidP="00520B7E">
      <w:pPr>
        <w:spacing w:after="0"/>
      </w:pPr>
      <w:r w:rsidRPr="00520B7E">
        <w:t xml:space="preserve">The Global X Lithium &amp; Battery Tech UCITS ETF (LITU) seeks to provide investment results that correspond generally to the price and yield performance, before fees and expenses, of the </w:t>
      </w:r>
      <w:proofErr w:type="spellStart"/>
      <w:r w:rsidRPr="00520B7E">
        <w:t>Solactive</w:t>
      </w:r>
      <w:proofErr w:type="spellEnd"/>
      <w:r w:rsidRPr="00520B7E">
        <w:t xml:space="preserve"> Global Lithium v2 Index.</w:t>
      </w:r>
      <w:r>
        <w:br/>
        <w:t>Ongoing Charge: 0.6%</w:t>
      </w:r>
    </w:p>
    <w:p w14:paraId="160B3C3D" w14:textId="10E37C69" w:rsidR="00520B7E" w:rsidRDefault="00520B7E" w:rsidP="00520B7E">
      <w:pPr>
        <w:spacing w:after="0"/>
      </w:pPr>
      <w:r>
        <w:t>41 Stocks</w:t>
      </w:r>
    </w:p>
    <w:p w14:paraId="64F9017E" w14:textId="77777777" w:rsidR="00520B7E" w:rsidRDefault="00520B7E" w:rsidP="00520B7E">
      <w:pPr>
        <w:spacing w:after="0"/>
      </w:pPr>
    </w:p>
    <w:p w14:paraId="727FC40D" w14:textId="77777777" w:rsidR="00520B7E" w:rsidRDefault="00520B7E" w:rsidP="00520B7E">
      <w:pPr>
        <w:spacing w:after="0"/>
      </w:pPr>
      <w:r>
        <w:t xml:space="preserve">LITM: </w:t>
      </w:r>
      <w:r w:rsidRPr="00520B7E">
        <w:t>iShares Lithium &amp; Battery Producers UCITS ETF</w:t>
      </w:r>
    </w:p>
    <w:p w14:paraId="107EDF1D" w14:textId="0DF8D550" w:rsidR="00520B7E" w:rsidRDefault="00520B7E" w:rsidP="00520B7E">
      <w:pPr>
        <w:spacing w:after="0"/>
      </w:pPr>
      <w:r w:rsidRPr="00520B7E">
        <w:t xml:space="preserve">The fund aims to provide investors with a total return, </w:t>
      </w:r>
      <w:proofErr w:type="gramStart"/>
      <w:r w:rsidRPr="00520B7E">
        <w:t>taking into account</w:t>
      </w:r>
      <w:proofErr w:type="gramEnd"/>
      <w:r w:rsidRPr="00520B7E">
        <w:t xml:space="preserve"> both capital and income </w:t>
      </w:r>
      <w:proofErr w:type="gramStart"/>
      <w:r w:rsidRPr="00520B7E">
        <w:t>returns</w:t>
      </w:r>
      <w:proofErr w:type="gramEnd"/>
      <w:r w:rsidRPr="00520B7E">
        <w:t>, which reflects the return of the STOXX Global Lithium and Battery Producers Index.</w:t>
      </w:r>
    </w:p>
    <w:p w14:paraId="586BB290" w14:textId="66325187" w:rsidR="00520B7E" w:rsidRDefault="00520B7E" w:rsidP="00520B7E">
      <w:pPr>
        <w:spacing w:after="0"/>
      </w:pPr>
      <w:r>
        <w:t>Total Expense Ratio: 0.55%</w:t>
      </w:r>
    </w:p>
    <w:p w14:paraId="32AD1EF0" w14:textId="572CB414" w:rsidR="00520B7E" w:rsidRPr="00520B7E" w:rsidRDefault="00520B7E" w:rsidP="00520B7E">
      <w:pPr>
        <w:spacing w:after="0"/>
      </w:pPr>
      <w:r>
        <w:t>66 Stocks</w:t>
      </w:r>
    </w:p>
    <w:p w14:paraId="0C7D503C" w14:textId="2A9122F5" w:rsidR="00520B7E" w:rsidRPr="00520B7E" w:rsidRDefault="00520B7E" w:rsidP="00520B7E">
      <w:pPr>
        <w:spacing w:after="0"/>
      </w:pPr>
    </w:p>
    <w:p w14:paraId="3032E296" w14:textId="77777777" w:rsidR="00520B7E" w:rsidRPr="00520B7E" w:rsidRDefault="00520B7E" w:rsidP="00520B7E">
      <w:pPr>
        <w:spacing w:after="0"/>
      </w:pPr>
    </w:p>
    <w:p w14:paraId="4ECF68E0" w14:textId="2E2E8431" w:rsidR="00520B7E" w:rsidRPr="00520B7E" w:rsidRDefault="00520B7E" w:rsidP="00520B7E">
      <w:pPr>
        <w:spacing w:after="0"/>
      </w:pPr>
    </w:p>
    <w:p w14:paraId="4DDB2C5B" w14:textId="41F5A2E3" w:rsidR="00520B7E" w:rsidRDefault="00520B7E" w:rsidP="00520B7E">
      <w:pPr>
        <w:spacing w:after="0"/>
      </w:pPr>
    </w:p>
    <w:p w14:paraId="36A45C3A" w14:textId="77777777" w:rsidR="00520B7E" w:rsidRPr="00520B7E" w:rsidRDefault="00520B7E" w:rsidP="00520B7E">
      <w:pPr>
        <w:rPr>
          <w:b/>
          <w:bCs/>
        </w:rPr>
      </w:pPr>
    </w:p>
    <w:p w14:paraId="3C065DEB" w14:textId="54893F4C" w:rsidR="00520B7E" w:rsidRDefault="00520B7E" w:rsidP="00520B7E">
      <w:pPr>
        <w:spacing w:after="0"/>
      </w:pPr>
    </w:p>
    <w:p w14:paraId="443B6842" w14:textId="77777777" w:rsidR="00520B7E" w:rsidRDefault="00520B7E" w:rsidP="00520B7E">
      <w:pPr>
        <w:spacing w:after="0"/>
      </w:pPr>
    </w:p>
    <w:p w14:paraId="574E6717" w14:textId="77777777" w:rsidR="00520B7E" w:rsidRPr="00520B7E" w:rsidRDefault="00520B7E" w:rsidP="00520B7E">
      <w:pPr>
        <w:spacing w:after="0"/>
      </w:pPr>
    </w:p>
    <w:p w14:paraId="5F3077CA" w14:textId="77777777" w:rsidR="00520B7E" w:rsidRPr="00520B7E" w:rsidRDefault="00520B7E" w:rsidP="00520B7E">
      <w:pPr>
        <w:spacing w:after="0"/>
      </w:pPr>
    </w:p>
    <w:p w14:paraId="67AF9D38" w14:textId="77777777" w:rsidR="00520B7E" w:rsidRDefault="00520B7E" w:rsidP="00520B7E">
      <w:pPr>
        <w:spacing w:after="0"/>
      </w:pPr>
    </w:p>
    <w:p w14:paraId="50F7CC20" w14:textId="77777777" w:rsidR="00520B7E" w:rsidRPr="00520B7E" w:rsidRDefault="00520B7E" w:rsidP="00520B7E">
      <w:pPr>
        <w:spacing w:after="0"/>
      </w:pPr>
    </w:p>
    <w:p w14:paraId="1FE138D1" w14:textId="77777777" w:rsidR="00520B7E" w:rsidRDefault="00520B7E" w:rsidP="00520B7E">
      <w:pPr>
        <w:spacing w:after="0"/>
      </w:pPr>
    </w:p>
    <w:sectPr w:rsidR="00520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7E"/>
    <w:rsid w:val="002426DF"/>
    <w:rsid w:val="00520B7E"/>
    <w:rsid w:val="006D1008"/>
    <w:rsid w:val="00E8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F54B9"/>
  <w15:chartTrackingRefBased/>
  <w15:docId w15:val="{B8F64A3C-7A92-4047-B517-2FF9FF6A5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0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B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Sunderland</dc:creator>
  <cp:keywords/>
  <dc:description/>
  <cp:lastModifiedBy>Tim Sunderland</cp:lastModifiedBy>
  <cp:revision>2</cp:revision>
  <dcterms:created xsi:type="dcterms:W3CDTF">2026-02-09T15:22:00Z</dcterms:created>
  <dcterms:modified xsi:type="dcterms:W3CDTF">2026-02-09T15:22:00Z</dcterms:modified>
</cp:coreProperties>
</file>