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i w:val="0"/>
          <w:color w:val="1E3A5F"/>
          <w:sz w:val="44"/>
        </w:rPr>
        <w:t>CYBER RISK INTELLIGENCE BRIEF</w:t>
      </w:r>
    </w:p>
    <w:p>
      <w:pPr>
        <w:jc w:val="center"/>
      </w:pPr>
      <w:r>
        <w:rPr>
          <w:b w:val="0"/>
          <w:i w:val="0"/>
          <w:color w:val="6B7280"/>
          <w:sz w:val="24"/>
        </w:rPr>
        <w:t>Weekly Intelligence Update  —  CONFIDENTIAL</w:t>
      </w:r>
    </w:p>
    <w:p>
      <w:pPr>
        <w:jc w:val="center"/>
      </w:pPr>
      <w:r>
        <w:rPr>
          <w:b w:val="0"/>
          <w:i w:val="0"/>
          <w:color w:val="6B7280"/>
          <w:sz w:val="22"/>
        </w:rPr>
        <w:t>AeroGrid Wind Solutions  |  2026-04-07</w:t>
      </w:r>
    </w:p>
    <w:p/>
    <w:p>
      <w:pPr>
        <w:jc w:val="center"/>
      </w:pPr>
      <w:r>
        <w:rPr>
          <w:b w:val="0"/>
          <w:i w:val="0"/>
          <w:color w:val="6B7280"/>
          <w:sz w:val="20"/>
        </w:rPr>
        <w:t>Regions analysed: 0     Escalated: 0     Monitor: 0     Clear: 0</w:t>
      </w:r>
    </w:p>
    <w:p>
      <w:r>
        <w:br w:type="page"/>
      </w:r>
    </w:p>
    <w:p>
      <w:r>
        <w:rPr>
          <w:b/>
          <w:i w:val="0"/>
          <w:color w:val="1E3A5F"/>
          <w:sz w:val="32"/>
        </w:rPr>
        <w:t>Executive Summary</w:t>
      </w:r>
    </w:p>
    <w:p>
      <w:r>
        <w:rPr>
          <w:b w:val="0"/>
          <w:i/>
          <w:color w:val="6B7280"/>
          <w:sz w:val="20"/>
        </w:rPr>
        <w:t>This weekly brief informs the CISO of active geopolitical and cyber threats relevant to AeroGrid Wind Solutions' global operations. Intelligence was gathered via open-source signals for the cycle ending 2026-04-07.</w:t>
      </w:r>
    </w:p>
    <w:p/>
    <w:p>
      <w:r>
        <w:rPr>
          <w:b/>
          <w:i w:val="0"/>
          <w:color w:val="1E3A5F"/>
          <w:sz w:val="22"/>
        </w:rPr>
        <w:t>Bottom Line Up Front</w:t>
      </w:r>
    </w:p>
    <w:p>
      <w:pPr>
        <w:pStyle w:val="ListBullet"/>
      </w:pPr>
      <w:r>
        <w:rPr>
          <w:b w:val="0"/>
          <w:i w:val="0"/>
          <w:sz w:val="20"/>
        </w:rPr>
        <w:t>Global posture: 0 of 0 regions escalated, 0 at monitor, 0 clear.</w:t>
      </w:r>
    </w:p>
    <w:p/>
    <w:p>
      <w:r>
        <w:rPr>
          <w:b/>
          <w:i w:val="0"/>
          <w:color w:val="1E3A5F"/>
          <w:sz w:val="22"/>
        </w:rPr>
        <w:t>Detail</w:t>
      </w:r>
    </w:p>
    <w:p>
      <w:pPr>
        <w:pStyle w:val="ListBullet"/>
      </w:pPr>
      <w:r>
        <w:rPr>
          <w:b w:val="0"/>
          <w:i w:val="0"/>
          <w:sz w:val="20"/>
        </w:rPr>
        <w:t>CURRENT-CYCLE HEADLINE: All five operating regions have escalated simultaneously — a global first in this pipeline's run history — with state-sponsored pressure targeting wind turbine IP, manufacturing OT environments, and supply chain access points across every geography in which AeroGrid holds assets; AME carries the highest single-region financial exposure under a Ransomware scenario, while APAC, LATAM, MED, and NCE converge on System intrusion, collectively placing the full scope of AeroGrid's crown jewels under active geopolitical threat.</w:t>
      </w:r>
    </w:p>
    <w:p>
      <w:pPr>
        <w:pStyle w:val="ListBullet"/>
      </w:pPr>
      <w:r>
        <w:rPr>
          <w:b w:val="0"/>
          <w:i w:val="0"/>
          <w:sz w:val="20"/>
        </w:rPr>
        <w:t>CROSS-REGIONAL PATTERN: System intrusion against wind turbine IP and OT networks is the dominant global scenario across four of five escalated regions, driven in each case by the Geopolitical pillar — state-directed competition over clean energy technology is the single unifying driver; AME diverges with a Ransomware primary scenario at financial rank 1, but shares the same underlying geopolitical driver of supply chain coercion; all five escalations carry B2 Admiralty ratings with the exception of LATAM, whose Admiralty confidence is partially impaired by a confirmed cyber collection gap — the board should treat LATAM's escalation as geopolitically grounded but cyber-layer inferred, distinguishing it from the B2-confirmed assessments in APAC, MED, and NCE where dual-pillar corroboration is available.</w:t>
      </w:r>
    </w:p>
    <w:p>
      <w:pPr>
        <w:pStyle w:val="ListBullet"/>
      </w:pPr>
      <w:r>
        <w:rPr>
          <w:b w:val="0"/>
          <w:i w:val="0"/>
          <w:sz w:val="20"/>
        </w:rPr>
        <w:t>VELOCITY/HISTORICAL CONTEXT: Two regions are accelerating (LATAM, NCE), three are stable (APAC, AME, MED); APAC has returned System intrusion as its primary scenario for 12 consecutive runs, representing sustained structural exposure rather than cyclical variance; LATAM has returned System intrusion for 4 consecutive runs following an escalation step-change from a clear baseline sustained through early March 2026; MED has returned System intrusion for 3 consecutive runs, indicating a durable rather than transient alignment with current maritime disruption and OT pre-positioning conditions.</w:t>
      </w:r>
    </w:p>
    <w:p>
      <w:pPr>
        <w:pStyle w:val="ListBullet"/>
      </w:pPr>
      <w:r>
        <w:rPr>
          <w:b w:val="0"/>
          <w:i w:val="0"/>
          <w:sz w:val="20"/>
        </w:rPr>
        <w:t>CORRECTIONS/CAVEATS: The AME data classification is Ransomware at financial rank 1, but the current AME regional brief addresses System intrusion tradecraft — this discrepancy should be reviewed before the next AME cycle; the NCE primary scenario reflects an analyst override of the automated System failure classification, grounded in confirmed state-actor manufacturing sector tradecraft but not a direct indicator match against wind OT environments; LATAM and NCE carry VaCR of zero in the current risk register, reflecting the absence of quantified exposure assignments rather than the absence of operational risk.</w:t>
      </w:r>
    </w:p>
    <w:p>
      <w:pPr>
        <w:spacing w:before="80" w:after="80"/>
        <w:pBdr>
          <w:bottom w:val="single" w:sz="6" w:space="1" w:color="D1D5DB"/>
        </w:pBdr>
      </w:pPr>
    </w:p>
    <w:p/>
    <w:p>
      <w:r>
        <w:rPr>
          <w:b w:val="0"/>
          <w:i/>
          <w:color w:val="6B7280"/>
          <w:sz w:val="16"/>
        </w:rPr>
        <w:t>Pipeline run: crq-2026-04-07T100018Z  |  Sources: open-source signals (media monitoring, government publications, industry reporting).  |  Scenario register: AeroGrid CRQ database.  |  For internal use only.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