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drawing>
          <wp:inline distB="114300" distT="114300" distL="114300" distR="114300">
            <wp:extent cx="2452688" cy="4101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52688" cy="4101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bCs w:val="1"/>
          <w:rtl w:val="0"/>
        </w:rPr>
        <w:t xml:space="preserve">Deal overview: </w:t>
      </w:r>
      <w:r w:rsidDel="00000000" w:rsidR="00000000" w:rsidRPr="00000000">
        <w:rPr>
          <w:rtl w:val="0"/>
        </w:rPr>
        <w:t xml:space="preserve">OpenLane terminated their Splunk contract after struggling with data ingestion, maintaining visibility into relevant data sources and keeping ingestion costs manageable. OpenLane had a very limited window to test new products. They had already canceled their Splunk contract when we began talking to them and only had three weeks to onboard a new SIEM vendor. To meet this aggressive timeline, an express POV and a managed Snowflake POV were conducted concurrently.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OpenLane wanted a modern SIEM that automated the TDIR process to empower their level one and two analysts, </w:t>
      </w:r>
      <w:r w:rsidDel="00000000" w:rsidR="00000000" w:rsidRPr="00000000">
        <w:rPr>
          <w:rtl w:val="0"/>
        </w:rPr>
        <w:t xml:space="preserve">who were struggling</w:t>
      </w:r>
      <w:r w:rsidDel="00000000" w:rsidR="00000000" w:rsidRPr="00000000">
        <w:rPr>
          <w:rtl w:val="0"/>
        </w:rPr>
        <w:t xml:space="preserve"> using Splunk, and provided quality detections. OpenLane also looked into Anvilogic. To block them from advancing, the Hunters team used trap setting questions to highlight Anvilogic’s challenges around ingesting certain data sources and Hunters’ ability to easily onboard data sources using pre-built integrations. </w:t>
      </w:r>
    </w:p>
    <w:p w:rsidR="00000000" w:rsidDel="00000000" w:rsidP="00000000" w:rsidRDefault="00000000" w:rsidRPr="00000000" w14:paraId="00000006">
      <w:pPr>
        <w:spacing w:line="276" w:lineRule="auto"/>
        <w:rPr>
          <w:b w:val="1"/>
          <w:bCs w:val="1"/>
        </w:rPr>
      </w:pPr>
      <w:r w:rsidDel="00000000" w:rsidR="00000000" w:rsidRPr="00000000">
        <w:rPr>
          <w:rtl w:val="0"/>
        </w:rPr>
      </w:r>
    </w:p>
    <w:tbl>
      <w:tblPr>
        <w:tblStyle w:val="Table1"/>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715"/>
        <w:tblGridChange w:id="0">
          <w:tblGrid>
            <w:gridCol w:w="4680"/>
            <w:gridCol w:w="57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Customer name</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OpenLane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What they do</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OpenLane operates an online marketplace that lets people buy and sell cars.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ARR, contract length</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$xxx,xxx, 1 year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Close date, deal cycle length</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3/29/24, 8 weeks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Champion</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Josh Adams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Economic buyer</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Weryke Rader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Hunters team</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Tom Mullen, Rick Adams, David Meier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How did they find us</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Inbound demo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SIEM replacement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SIEM replaced</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Number of analysts</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5-person SOC team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Data lake</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Hosted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spacing w:line="276" w:lineRule="auto"/>
              <w:rPr>
                <w:b w:val="1"/>
                <w:bCs w:val="1"/>
              </w:rPr>
            </w:pPr>
            <w:r w:rsidDel="00000000" w:rsidR="00000000" w:rsidRPr="00000000">
              <w:rPr>
                <w:b w:val="1"/>
                <w:bCs w:val="1"/>
                <w:rtl w:val="0"/>
              </w:rPr>
              <w:t xml:space="preserve">Competition</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Anvilogic, Splunk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Partners involved</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Guidepoint Security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POC</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27 days, express POC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Customer pains</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numPr>
                <w:ilvl w:val="0"/>
                <w:numId w:val="3"/>
              </w:numPr>
              <w:ind w:left="720" w:hanging="360"/>
              <w:rPr>
                <w:u w:val="none"/>
              </w:rPr>
            </w:pPr>
            <w:r w:rsidDel="00000000" w:rsidR="00000000" w:rsidRPr="00000000">
              <w:rPr>
                <w:rtl w:val="0"/>
              </w:rPr>
              <w:t xml:space="preserve">Ingesting data into Spulnk</w:t>
            </w:r>
          </w:p>
          <w:p w:rsidR="00000000" w:rsidDel="00000000" w:rsidP="00000000" w:rsidRDefault="00000000" w:rsidRPr="00000000" w14:paraId="00000027">
            <w:pPr>
              <w:widowControl w:val="0"/>
              <w:numPr>
                <w:ilvl w:val="0"/>
                <w:numId w:val="3"/>
              </w:numPr>
              <w:ind w:left="720" w:hanging="360"/>
              <w:rPr>
                <w:u w:val="none"/>
              </w:rPr>
            </w:pPr>
            <w:r w:rsidDel="00000000" w:rsidR="00000000" w:rsidRPr="00000000">
              <w:rPr>
                <w:rtl w:val="0"/>
              </w:rPr>
              <w:t xml:space="preserve">Missed detections by Splunk</w:t>
            </w:r>
          </w:p>
          <w:p w:rsidR="00000000" w:rsidDel="00000000" w:rsidP="00000000" w:rsidRDefault="00000000" w:rsidRPr="00000000" w14:paraId="00000028">
            <w:pPr>
              <w:widowControl w:val="0"/>
              <w:numPr>
                <w:ilvl w:val="0"/>
                <w:numId w:val="3"/>
              </w:numPr>
              <w:ind w:left="720" w:hanging="360"/>
              <w:rPr>
                <w:u w:val="none"/>
              </w:rPr>
            </w:pPr>
            <w:r w:rsidDel="00000000" w:rsidR="00000000" w:rsidRPr="00000000">
              <w:rPr>
                <w:rtl w:val="0"/>
              </w:rPr>
              <w:t xml:space="preserve">Cost of Splunk</w:t>
            </w:r>
          </w:p>
          <w:p w:rsidR="00000000" w:rsidDel="00000000" w:rsidP="00000000" w:rsidRDefault="00000000" w:rsidRPr="00000000" w14:paraId="00000029">
            <w:pPr>
              <w:widowControl w:val="0"/>
              <w:numPr>
                <w:ilvl w:val="0"/>
                <w:numId w:val="3"/>
              </w:numPr>
              <w:ind w:left="720" w:hanging="360"/>
              <w:rPr>
                <w:u w:val="none"/>
              </w:rPr>
            </w:pPr>
            <w:r w:rsidDel="00000000" w:rsidR="00000000" w:rsidRPr="00000000">
              <w:rPr>
                <w:rtl w:val="0"/>
              </w:rPr>
              <w:t xml:space="preserve">Lack of automation in the investigation process was causing them to lose time,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spacing w:line="276" w:lineRule="auto"/>
              <w:rPr>
                <w:b w:val="1"/>
                <w:bCs w:val="1"/>
              </w:rPr>
            </w:pPr>
            <w:r w:rsidDel="00000000" w:rsidR="00000000" w:rsidRPr="00000000">
              <w:rPr>
                <w:b w:val="1"/>
                <w:bCs w:val="1"/>
                <w:rtl w:val="0"/>
              </w:rPr>
              <w:t xml:space="preserve">Metrics</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numPr>
                <w:ilvl w:val="0"/>
                <w:numId w:val="2"/>
              </w:numPr>
              <w:spacing w:line="240" w:lineRule="auto"/>
              <w:ind w:left="720" w:hanging="360"/>
              <w:rPr>
                <w:u w:val="none"/>
              </w:rPr>
            </w:pPr>
            <w:r w:rsidDel="00000000" w:rsidR="00000000" w:rsidRPr="00000000">
              <w:rPr>
                <w:rtl w:val="0"/>
              </w:rPr>
              <w:t xml:space="preserve">Fast mean time to detection and response by using automation</w:t>
            </w:r>
          </w:p>
          <w:p w:rsidR="00000000" w:rsidDel="00000000" w:rsidP="00000000" w:rsidRDefault="00000000" w:rsidRPr="00000000" w14:paraId="0000002C">
            <w:pPr>
              <w:widowControl w:val="0"/>
              <w:numPr>
                <w:ilvl w:val="0"/>
                <w:numId w:val="2"/>
              </w:numPr>
              <w:spacing w:line="240" w:lineRule="auto"/>
              <w:ind w:left="720" w:hanging="360"/>
              <w:rPr>
                <w:u w:val="none"/>
              </w:rPr>
            </w:pPr>
            <w:r w:rsidDel="00000000" w:rsidR="00000000" w:rsidRPr="00000000">
              <w:rPr>
                <w:rtl w:val="0"/>
              </w:rPr>
              <w:t xml:space="preserve">Quickly add data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Decision criteria</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numPr>
                <w:ilvl w:val="0"/>
                <w:numId w:val="1"/>
              </w:numPr>
              <w:ind w:left="720" w:hanging="360"/>
              <w:rPr>
                <w:u w:val="none"/>
              </w:rPr>
            </w:pPr>
            <w:r w:rsidDel="00000000" w:rsidR="00000000" w:rsidRPr="00000000">
              <w:rPr>
                <w:rtl w:val="0"/>
              </w:rPr>
              <w:t xml:space="preserve">Out-of-the-box detection content</w:t>
            </w:r>
          </w:p>
          <w:p w:rsidR="00000000" w:rsidDel="00000000" w:rsidP="00000000" w:rsidRDefault="00000000" w:rsidRPr="00000000" w14:paraId="0000002F">
            <w:pPr>
              <w:widowControl w:val="0"/>
              <w:numPr>
                <w:ilvl w:val="0"/>
                <w:numId w:val="1"/>
              </w:numPr>
              <w:ind w:left="720" w:hanging="360"/>
              <w:rPr>
                <w:u w:val="none"/>
              </w:rPr>
            </w:pPr>
            <w:r w:rsidDel="00000000" w:rsidR="00000000" w:rsidRPr="00000000">
              <w:rPr>
                <w:rtl w:val="0"/>
              </w:rPr>
              <w:t xml:space="preserve">Easily onboard data source</w:t>
            </w:r>
          </w:p>
          <w:p w:rsidR="00000000" w:rsidDel="00000000" w:rsidP="00000000" w:rsidRDefault="00000000" w:rsidRPr="00000000" w14:paraId="00000030">
            <w:pPr>
              <w:widowControl w:val="0"/>
              <w:numPr>
                <w:ilvl w:val="0"/>
                <w:numId w:val="1"/>
              </w:numPr>
              <w:ind w:left="720" w:hanging="360"/>
              <w:rPr>
                <w:u w:val="none"/>
              </w:rPr>
            </w:pPr>
            <w:r w:rsidDel="00000000" w:rsidR="00000000" w:rsidRPr="00000000">
              <w:rPr>
                <w:rtl w:val="0"/>
              </w:rPr>
              <w:t xml:space="preserve">“Low touch” solution that would let them “see the magic’ without much work on their part</w:t>
            </w:r>
          </w:p>
          <w:p w:rsidR="00000000" w:rsidDel="00000000" w:rsidP="00000000" w:rsidRDefault="00000000" w:rsidRPr="00000000" w14:paraId="00000031">
            <w:pPr>
              <w:widowControl w:val="0"/>
              <w:numPr>
                <w:ilvl w:val="0"/>
                <w:numId w:val="1"/>
              </w:numPr>
              <w:ind w:left="720" w:hanging="360"/>
              <w:rPr>
                <w:u w:val="none"/>
              </w:rPr>
            </w:pPr>
            <w:r w:rsidDel="00000000" w:rsidR="00000000" w:rsidRPr="00000000">
              <w:rPr>
                <w:rtl w:val="0"/>
              </w:rPr>
              <w:t xml:space="preserve">Map to MITRE framework</w:t>
            </w:r>
          </w:p>
          <w:p w:rsidR="00000000" w:rsidDel="00000000" w:rsidP="00000000" w:rsidRDefault="00000000" w:rsidRPr="00000000" w14:paraId="00000032">
            <w:pPr>
              <w:widowControl w:val="0"/>
              <w:numPr>
                <w:ilvl w:val="0"/>
                <w:numId w:val="1"/>
              </w:numPr>
              <w:ind w:left="720" w:hanging="360"/>
              <w:rPr>
                <w:u w:val="none"/>
              </w:rPr>
            </w:pPr>
            <w:r w:rsidDel="00000000" w:rsidR="00000000" w:rsidRPr="00000000">
              <w:rPr>
                <w:rtl w:val="0"/>
              </w:rPr>
              <w:t xml:space="preserve">increase confidence in their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spacing w:line="276" w:lineRule="auto"/>
              <w:rPr>
                <w:b w:val="1"/>
                <w:bCs w:val="1"/>
              </w:rPr>
            </w:pPr>
            <w:r w:rsidDel="00000000" w:rsidR="00000000" w:rsidRPr="00000000">
              <w:rPr>
                <w:b w:val="1"/>
                <w:bCs w:val="1"/>
                <w:rtl w:val="0"/>
              </w:rPr>
              <w:t xml:space="preserve">Why Hunters</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numPr>
                <w:ilvl w:val="0"/>
                <w:numId w:val="4"/>
              </w:numPr>
              <w:spacing w:line="240" w:lineRule="auto"/>
              <w:ind w:left="720" w:hanging="360"/>
              <w:rPr>
                <w:u w:val="none"/>
              </w:rPr>
            </w:pPr>
            <w:r w:rsidDel="00000000" w:rsidR="00000000" w:rsidRPr="00000000">
              <w:rPr>
                <w:rtl w:val="0"/>
              </w:rPr>
              <w:t xml:space="preserve">Simplified data onboarding using self-service data ingestion </w:t>
            </w:r>
          </w:p>
          <w:p w:rsidR="00000000" w:rsidDel="00000000" w:rsidP="00000000" w:rsidRDefault="00000000" w:rsidRPr="00000000" w14:paraId="00000035">
            <w:pPr>
              <w:widowControl w:val="0"/>
              <w:numPr>
                <w:ilvl w:val="0"/>
                <w:numId w:val="4"/>
              </w:numPr>
              <w:spacing w:line="240" w:lineRule="auto"/>
              <w:ind w:left="720" w:hanging="360"/>
              <w:rPr>
                <w:u w:val="none"/>
              </w:rPr>
            </w:pPr>
            <w:r w:rsidDel="00000000" w:rsidR="00000000" w:rsidRPr="00000000">
              <w:rPr>
                <w:rtl w:val="0"/>
              </w:rPr>
              <w:t xml:space="preserve">Automatically cross correlate detections to generate attack stories</w:t>
            </w:r>
          </w:p>
          <w:p w:rsidR="00000000" w:rsidDel="00000000" w:rsidP="00000000" w:rsidRDefault="00000000" w:rsidRPr="00000000" w14:paraId="00000036">
            <w:pPr>
              <w:widowControl w:val="0"/>
              <w:numPr>
                <w:ilvl w:val="0"/>
                <w:numId w:val="4"/>
              </w:numPr>
              <w:spacing w:line="240" w:lineRule="auto"/>
              <w:ind w:left="720" w:hanging="360"/>
              <w:rPr>
                <w:u w:val="none"/>
              </w:rPr>
            </w:pPr>
            <w:r w:rsidDel="00000000" w:rsidR="00000000" w:rsidRPr="00000000">
              <w:rPr>
                <w:rtl w:val="0"/>
              </w:rPr>
              <w:t xml:space="preserve">Allows investigations without pivoting to different tools</w:t>
            </w:r>
          </w:p>
          <w:p w:rsidR="00000000" w:rsidDel="00000000" w:rsidP="00000000" w:rsidRDefault="00000000" w:rsidRPr="00000000" w14:paraId="00000037">
            <w:pPr>
              <w:widowControl w:val="0"/>
              <w:numPr>
                <w:ilvl w:val="0"/>
                <w:numId w:val="4"/>
              </w:numPr>
              <w:spacing w:line="240" w:lineRule="auto"/>
              <w:ind w:left="720" w:hanging="360"/>
              <w:rPr>
                <w:u w:val="none"/>
              </w:rPr>
            </w:pPr>
            <w:r w:rsidDel="00000000" w:rsidR="00000000" w:rsidRPr="00000000">
              <w:rPr>
                <w:rtl w:val="0"/>
              </w:rPr>
              <w:t xml:space="preserve">Provides greater data coverage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Sales process challenges</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The three-week timeline to complete the deal meant using an express POC to meet this tight schedule.  Data onboarding was a hands-on, high-touch process since some members of the team had limited experience with data onboarding. Additionally, Hunters doesn’t offer data integration for VMWare Aria logs, which were a key data source for OpenLane. Customer success is now working on OpenLane on ingesting the VMWare Aria logs, which will be a custom data source.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spacing w:line="276" w:lineRule="auto"/>
              <w:rPr>
                <w:b w:val="1"/>
                <w:bCs w:val="1"/>
              </w:rPr>
            </w:pPr>
            <w:r w:rsidDel="00000000" w:rsidR="00000000" w:rsidRPr="00000000">
              <w:rPr>
                <w:b w:val="1"/>
                <w:bCs w:val="1"/>
                <w:rtl w:val="0"/>
              </w:rPr>
              <w:t xml:space="preserve">Data ingested</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Okta, Microsoft 365, AWS Cloud Trail logs, SentinelOne</w:t>
            </w: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spacing w:line="276" w:lineRule="auto"/>
              <w:rPr>
                <w:b w:val="1"/>
                <w:bCs w:val="1"/>
              </w:rPr>
            </w:pPr>
            <w:r w:rsidDel="00000000" w:rsidR="00000000" w:rsidRPr="00000000">
              <w:rPr>
                <w:b w:val="1"/>
                <w:bCs w:val="1"/>
                <w:rtl w:val="0"/>
              </w:rPr>
              <w:t xml:space="preserve">Did they purchase Team Axon</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03E">
      <w:pPr>
        <w:spacing w:line="276" w:lineRule="auto"/>
        <w:rPr>
          <w:b w:val="1"/>
          <w:bCs w:val="1"/>
        </w:rPr>
      </w:pPr>
      <w:r w:rsidDel="00000000" w:rsidR="00000000" w:rsidRPr="00000000">
        <w:rPr>
          <w:rtl w:val="0"/>
        </w:rPr>
      </w:r>
    </w:p>
    <w:p w:rsidR="00000000" w:rsidDel="00000000" w:rsidP="00000000" w:rsidRDefault="00000000" w:rsidRPr="00000000" w14:paraId="0000003F">
      <w:pPr>
        <w:spacing w:line="276" w:lineRule="auto"/>
        <w:rPr>
          <w:b w:val="1"/>
          <w:bCs w:val="1"/>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drawing>
        <wp:inline distB="114300" distT="114300" distL="114300" distR="114300">
          <wp:extent cx="1538288" cy="230283"/>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538288" cy="2302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